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ascii="黑体" w:hAnsi="黑体" w:eastAsia="黑体"/>
          <w:color w:val="000000"/>
          <w:sz w:val="52"/>
          <w:szCs w:val="52"/>
        </w:rPr>
        <w:t>焦作市第十四中学</w:t>
      </w:r>
    </w:p>
    <w:p>
      <w:pPr>
        <w:jc w:val="center"/>
        <w:rPr>
          <w:rFonts w:hint="eastAsia"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2024</w:t>
      </w:r>
      <w:r>
        <w:rPr>
          <w:rFonts w:hint="eastAsia" w:ascii="黑体" w:hAnsi="黑体" w:eastAsia="黑体"/>
          <w:color w:val="000000"/>
          <w:sz w:val="52"/>
          <w:szCs w:val="52"/>
        </w:rPr>
        <w:t>年度</w:t>
      </w:r>
      <w:r>
        <w:rPr>
          <w:rFonts w:hint="eastAsia" w:ascii="黑体" w:hAnsi="黑体" w:eastAsia="黑体"/>
          <w:color w:val="000000"/>
          <w:sz w:val="52"/>
          <w:szCs w:val="52"/>
          <w:lang w:eastAsia="zh-CN"/>
        </w:rPr>
        <w:t>单位</w:t>
      </w:r>
      <w:r>
        <w:rPr>
          <w:rFonts w:hint="eastAsia" w:ascii="黑体" w:hAnsi="黑体" w:eastAsia="黑体"/>
          <w:color w:val="000000"/>
          <w:sz w:val="52"/>
          <w:szCs w:val="52"/>
        </w:rPr>
        <w:t>预算</w:t>
      </w:r>
    </w:p>
    <w:p>
      <w:pPr>
        <w:jc w:val="center"/>
        <w:rPr>
          <w:rFonts w:hint="eastAsia"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 xml:space="preserve"> </w:t>
      </w:r>
    </w:p>
    <w:p>
      <w:pPr>
        <w:jc w:val="center"/>
        <w:rPr>
          <w:rFonts w:hint="eastAsia"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 xml:space="preserve"> </w:t>
      </w:r>
    </w:p>
    <w:p>
      <w:pPr>
        <w:jc w:val="center"/>
        <w:rPr>
          <w:rFonts w:hint="eastAsia"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 xml:space="preserve"> </w:t>
      </w:r>
    </w:p>
    <w:p>
      <w:pPr>
        <w:jc w:val="center"/>
        <w:rPr>
          <w:rFonts w:hint="eastAsia"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 xml:space="preserve"> </w:t>
      </w:r>
    </w:p>
    <w:p>
      <w:pPr>
        <w:jc w:val="center"/>
        <w:rPr>
          <w:rFonts w:hint="eastAsia"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 xml:space="preserve"> </w:t>
      </w:r>
    </w:p>
    <w:p>
      <w:pPr>
        <w:jc w:val="center"/>
        <w:rPr>
          <w:rFonts w:hint="eastAsia"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 xml:space="preserve">  </w:t>
      </w:r>
    </w:p>
    <w:p>
      <w:pPr>
        <w:jc w:val="center"/>
        <w:rPr>
          <w:rFonts w:hint="eastAsia"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 xml:space="preserve"> </w:t>
      </w:r>
    </w:p>
    <w:p>
      <w:pPr>
        <w:jc w:val="center"/>
        <w:rPr>
          <w:rFonts w:hint="eastAsia"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 xml:space="preserve"> </w:t>
      </w:r>
    </w:p>
    <w:p>
      <w:pPr>
        <w:jc w:val="center"/>
        <w:rPr>
          <w:rFonts w:hint="eastAsia"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 xml:space="preserve"> </w:t>
      </w:r>
    </w:p>
    <w:p>
      <w:pPr>
        <w:jc w:val="center"/>
        <w:rPr>
          <w:rFonts w:hint="eastAsia"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eastAsia="黑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二</w:t>
      </w:r>
      <w:r>
        <w:rPr>
          <w:rFonts w:hint="eastAsia" w:eastAsia="黑体" w:cs="方正小标宋简体"/>
          <w:color w:val="000000"/>
          <w:sz w:val="32"/>
          <w:szCs w:val="32"/>
        </w:rPr>
        <w:t>○二</w:t>
      </w: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四年三月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hint="eastAsia" w:ascii="仿宋" w:hAnsi="仿宋" w:eastAsia="仿宋" w:cs="仿宋_GB2312"/>
          <w:b/>
          <w:bCs/>
          <w:color w:val="000000"/>
          <w:sz w:val="44"/>
          <w:szCs w:val="44"/>
        </w:rPr>
      </w:pPr>
      <w:r>
        <w:rPr>
          <w:rFonts w:cs="仿宋_GB2312"/>
          <w:color w:val="000000"/>
          <w:sz w:val="44"/>
          <w:szCs w:val="44"/>
        </w:rPr>
        <w:br w:type="page"/>
      </w:r>
      <w:r>
        <w:rPr>
          <w:rFonts w:ascii="仿宋" w:hAnsi="仿宋" w:eastAsia="仿宋" w:cs="仿宋_GB2312"/>
          <w:b/>
          <w:bCs/>
          <w:color w:val="000000"/>
          <w:sz w:val="44"/>
          <w:szCs w:val="44"/>
        </w:rPr>
        <w:t xml:space="preserve">目 </w:t>
      </w:r>
      <w:r>
        <w:rPr>
          <w:rFonts w:ascii="仿宋" w:hAnsi="仿宋" w:eastAsia="仿宋" w:cs="仿宋_GB2312"/>
          <w:b/>
          <w:bCs/>
          <w:color w:val="000000"/>
          <w:spacing w:val="2"/>
          <w:sz w:val="44"/>
          <w:szCs w:val="44"/>
        </w:rPr>
        <w:t xml:space="preserve"> </w:t>
      </w:r>
      <w:r>
        <w:rPr>
          <w:rFonts w:ascii="仿宋" w:hAnsi="仿宋" w:eastAsia="仿宋" w:cs="仿宋_GB2312"/>
          <w:b/>
          <w:bCs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b/>
          <w:bCs/>
          <w:color w:val="000000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第一部分  概况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一、主要职能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二、预算单位构成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第二部分 焦作市第十四中学2024年度预算情况说明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第三部分 名词解释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</w:t>
      </w:r>
      <w:r>
        <w:rPr>
          <w:rFonts w:ascii="仿宋" w:hAnsi="仿宋" w:eastAsia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焦作市第十四中学2024年度预算表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一、部门收支预算表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二、部门收入预算表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三、部门支出预算表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四、财政拨款收支预算表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五、一般公共预算支出预算表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六、一般公共预算基本支出预算表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七、一般公共预算基本支出明细表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八、支出经济分类汇总表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九、一般公共预算“三公”经费预算表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十、政府性基金支出预算表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十一、国有资本经营支出预算表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十二、项目支出预算表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十三、机关（机构）运行经费</w:t>
      </w:r>
    </w:p>
    <w:p>
      <w:pPr>
        <w:overflowPunct w:val="0"/>
        <w:adjustRightInd w:val="0"/>
        <w:snapToGrid w:val="0"/>
        <w:spacing w:line="550" w:lineRule="exact"/>
        <w:ind w:firstLine="940" w:firstLineChars="29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十四、本级部门（单位）预算项目绩效目标表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ascii="仿宋" w:hAnsi="仿宋" w:eastAsia="仿宋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仿宋" w:hAnsi="仿宋" w:eastAsia="仿宋" w:cs="仿宋_GB2312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color w:val="000000"/>
          <w:sz w:val="36"/>
          <w:szCs w:val="36"/>
        </w:rPr>
        <w:t>第一部分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仿宋" w:hAnsi="仿宋" w:eastAsia="仿宋" w:cs="仿宋_GB2312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color w:val="000000"/>
          <w:sz w:val="36"/>
          <w:szCs w:val="36"/>
        </w:rPr>
        <w:t>焦作市第十四中学单位概况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b/>
          <w:bCs/>
          <w:color w:val="00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outlineLvl w:val="0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主要职能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（一）机构设置情况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焦作市第十四中学内设科室</w:t>
      </w:r>
      <w:r>
        <w:rPr>
          <w:rFonts w:hint="eastAsia" w:ascii="仿宋" w:hAnsi="仿宋" w:eastAsia="仿宋"/>
          <w:color w:val="000000"/>
          <w:sz w:val="32"/>
          <w:szCs w:val="32"/>
        </w:rPr>
        <w:t>4个：办公室、教导处、总务处、政教处。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（二）部门职责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学校主要职能是研究拟定全校教育发展战略，贯彻执行党中央及省、市、区有关工作的教育方针、政策、法规，研究拟定学校发展规划和年度计划，管理和指导学校基础教育工作，实施初中义务教育，促进基础教育发展，管理学校经费预算、决算，执行财务管理制度，负责和指导学校教职工的思想政治工作，规划学校品德教育、体育卫生教育、艺术教育，负责做好社会治安综合治理及安全保卫工作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outlineLvl w:val="0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二、焦作市第十四中学预算单位构成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本预算为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焦作市第十四中学</w:t>
      </w:r>
      <w:r>
        <w:rPr>
          <w:rFonts w:ascii="仿宋" w:hAnsi="仿宋" w:eastAsia="仿宋"/>
          <w:color w:val="000000"/>
          <w:sz w:val="32"/>
          <w:szCs w:val="32"/>
        </w:rPr>
        <w:t>单位预算。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" w:hAnsi="仿宋" w:eastAsia="仿宋" w:cs="仿宋_GB2312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color w:val="000000"/>
          <w:sz w:val="36"/>
          <w:szCs w:val="36"/>
        </w:rPr>
        <w:t xml:space="preserve"> 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仿宋" w:hAnsi="仿宋" w:eastAsia="仿宋" w:cs="仿宋_GB2312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color w:val="000000"/>
          <w:sz w:val="36"/>
          <w:szCs w:val="36"/>
        </w:rPr>
        <w:t>第二部分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仿宋" w:hAnsi="仿宋" w:eastAsia="仿宋" w:cs="仿宋_GB2312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焦作市第十四中学</w:t>
      </w: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202</w:t>
      </w:r>
      <w:r>
        <w:rPr>
          <w:rFonts w:hint="eastAsia" w:ascii="仿宋" w:hAnsi="仿宋" w:eastAsia="仿宋" w:cs="仿宋_GB2312"/>
          <w:b/>
          <w:bCs/>
          <w:color w:val="000000"/>
          <w:sz w:val="36"/>
          <w:szCs w:val="36"/>
        </w:rPr>
        <w:t>4年度预算情况说明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outlineLvl w:val="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b/>
          <w:bCs/>
          <w:color w:val="00000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outlineLvl w:val="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一、收入支出预算总体情况说明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2024年收入总计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570.59</w:t>
      </w:r>
      <w:r>
        <w:rPr>
          <w:rFonts w:ascii="仿宋" w:hAnsi="仿宋" w:eastAsia="仿宋"/>
          <w:color w:val="000000"/>
          <w:sz w:val="32"/>
          <w:szCs w:val="32"/>
        </w:rPr>
        <w:t>万元，支出总计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570.59</w:t>
      </w:r>
      <w:r>
        <w:rPr>
          <w:rFonts w:ascii="仿宋" w:hAnsi="仿宋" w:eastAsia="仿宋"/>
          <w:color w:val="000000"/>
          <w:sz w:val="32"/>
          <w:szCs w:val="32"/>
        </w:rPr>
        <w:t>万元，与上年相比，收、支总计各增加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52.17</w:t>
      </w:r>
      <w:r>
        <w:rPr>
          <w:rFonts w:ascii="仿宋" w:hAnsi="仿宋" w:eastAsia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10.06</w:t>
      </w:r>
      <w:r>
        <w:rPr>
          <w:rFonts w:ascii="仿宋" w:hAnsi="仿宋" w:eastAsia="仿宋"/>
          <w:color w:val="000000"/>
          <w:sz w:val="32"/>
          <w:szCs w:val="32"/>
        </w:rPr>
        <w:t>%。主要原因：教育经费和社会保障收支增加</w:t>
      </w:r>
      <w:r>
        <w:rPr>
          <w:rFonts w:ascii="仿宋" w:hAnsi="仿宋" w:eastAsia="仿宋" w:cs="Arial"/>
          <w:color w:val="000000"/>
          <w:sz w:val="32"/>
          <w:szCs w:val="32"/>
        </w:rPr>
        <w:t xml:space="preserve">。 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二、收入预算总体情况说明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2024年收入合计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570.59</w:t>
      </w:r>
      <w:r>
        <w:rPr>
          <w:rFonts w:ascii="仿宋" w:hAnsi="仿宋" w:eastAsia="仿宋"/>
          <w:color w:val="000000"/>
          <w:sz w:val="32"/>
          <w:szCs w:val="32"/>
        </w:rPr>
        <w:t>万元，其中：一般公共预算收入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570.59</w:t>
      </w:r>
      <w:r>
        <w:rPr>
          <w:rFonts w:ascii="仿宋" w:hAnsi="仿宋" w:eastAsia="仿宋"/>
          <w:color w:val="000000"/>
          <w:sz w:val="32"/>
          <w:szCs w:val="32"/>
        </w:rPr>
        <w:t>万元; 政府性基金预算收入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万元；国有资本经营预算收</w:t>
      </w:r>
      <w:r>
        <w:rPr>
          <w:rFonts w:ascii="仿宋" w:hAnsi="仿宋" w:eastAsia="仿宋"/>
          <w:color w:val="000000"/>
          <w:spacing w:val="6"/>
          <w:sz w:val="32"/>
          <w:szCs w:val="32"/>
        </w:rPr>
        <w:t>入</w:t>
      </w:r>
      <w:r>
        <w:rPr>
          <w:rFonts w:hint="eastAsia" w:ascii="仿宋" w:hAnsi="仿宋" w:eastAsia="仿宋" w:cs="Arial"/>
          <w:color w:val="000000"/>
          <w:spacing w:val="6"/>
          <w:sz w:val="32"/>
          <w:szCs w:val="32"/>
        </w:rPr>
        <w:t>0</w:t>
      </w:r>
      <w:r>
        <w:rPr>
          <w:rFonts w:ascii="仿宋" w:hAnsi="仿宋" w:eastAsia="仿宋" w:cs="Arial"/>
          <w:color w:val="000000"/>
          <w:spacing w:val="6"/>
          <w:sz w:val="32"/>
          <w:szCs w:val="32"/>
        </w:rPr>
        <w:t>万元；财政专户管理资金收入</w:t>
      </w:r>
      <w:r>
        <w:rPr>
          <w:rFonts w:hint="eastAsia" w:ascii="仿宋" w:hAnsi="仿宋" w:eastAsia="仿宋" w:cs="Arial"/>
          <w:color w:val="000000"/>
          <w:spacing w:val="6"/>
          <w:sz w:val="32"/>
          <w:szCs w:val="32"/>
        </w:rPr>
        <w:t>0</w:t>
      </w:r>
      <w:r>
        <w:rPr>
          <w:rFonts w:ascii="仿宋" w:hAnsi="仿宋" w:eastAsia="仿宋" w:cs="Arial"/>
          <w:color w:val="000000"/>
          <w:spacing w:val="6"/>
          <w:sz w:val="32"/>
          <w:szCs w:val="32"/>
        </w:rPr>
        <w:t>万元</w:t>
      </w:r>
      <w:r>
        <w:rPr>
          <w:rFonts w:ascii="仿宋" w:hAnsi="仿宋" w:eastAsia="仿宋" w:cs="Arial"/>
          <w:color w:val="000000"/>
          <w:sz w:val="32"/>
          <w:szCs w:val="32"/>
        </w:rPr>
        <w:t>。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outlineLvl w:val="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三、支出预算总体情况说明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2024年支出合计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570.59</w:t>
      </w:r>
      <w:r>
        <w:rPr>
          <w:rFonts w:ascii="仿宋" w:hAnsi="仿宋" w:eastAsia="仿宋"/>
          <w:color w:val="000000"/>
          <w:sz w:val="32"/>
          <w:szCs w:val="32"/>
        </w:rPr>
        <w:t>万元，其中：基本支出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560.17</w:t>
      </w:r>
      <w:r>
        <w:rPr>
          <w:rFonts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98.17</w:t>
      </w:r>
      <w:r>
        <w:rPr>
          <w:rFonts w:ascii="仿宋" w:hAnsi="仿宋" w:eastAsia="仿宋" w:cs="Arial"/>
          <w:color w:val="000000"/>
          <w:sz w:val="32"/>
          <w:szCs w:val="32"/>
        </w:rPr>
        <w:t>%</w:t>
      </w:r>
      <w:r>
        <w:rPr>
          <w:rFonts w:ascii="仿宋" w:hAnsi="仿宋" w:eastAsia="仿宋"/>
          <w:color w:val="000000"/>
          <w:sz w:val="32"/>
          <w:szCs w:val="32"/>
        </w:rPr>
        <w:t>；项目支出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10.42</w:t>
      </w:r>
      <w:r>
        <w:rPr>
          <w:rFonts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1.83</w:t>
      </w:r>
      <w:r>
        <w:rPr>
          <w:rFonts w:ascii="仿宋" w:hAnsi="仿宋" w:eastAsia="仿宋"/>
          <w:color w:val="000000"/>
          <w:sz w:val="32"/>
          <w:szCs w:val="32"/>
        </w:rPr>
        <w:t xml:space="preserve">%。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outlineLvl w:val="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四、财政拨款收入支出预算总体情况说明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2024年一般公共预算收支预算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570.59</w:t>
      </w:r>
      <w:r>
        <w:rPr>
          <w:rFonts w:ascii="仿宋" w:hAnsi="仿宋" w:eastAsia="仿宋"/>
          <w:color w:val="000000"/>
          <w:sz w:val="32"/>
          <w:szCs w:val="32"/>
        </w:rPr>
        <w:t>万元，政府性基金收支预算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0</w:t>
      </w:r>
      <w:r>
        <w:rPr>
          <w:rFonts w:ascii="仿宋" w:hAnsi="仿宋" w:eastAsia="仿宋" w:cs="Arial"/>
          <w:color w:val="000000"/>
          <w:sz w:val="32"/>
          <w:szCs w:val="32"/>
        </w:rPr>
        <w:t>万元。</w:t>
      </w:r>
      <w:r>
        <w:rPr>
          <w:rFonts w:ascii="仿宋" w:hAnsi="仿宋" w:eastAsia="仿宋"/>
          <w:color w:val="000000"/>
          <w:sz w:val="32"/>
          <w:szCs w:val="32"/>
        </w:rPr>
        <w:t>与上年相比，一般公共预算收支预算增加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52.17</w:t>
      </w:r>
      <w:r>
        <w:rPr>
          <w:rFonts w:ascii="仿宋" w:hAnsi="仿宋" w:eastAsia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10.06</w:t>
      </w:r>
      <w:r>
        <w:rPr>
          <w:rFonts w:ascii="仿宋" w:hAnsi="仿宋" w:eastAsia="仿宋"/>
          <w:color w:val="000000"/>
          <w:sz w:val="32"/>
          <w:szCs w:val="32"/>
        </w:rPr>
        <w:t>%，主要原因：</w:t>
      </w:r>
      <w:r>
        <w:rPr>
          <w:rFonts w:ascii="仿宋" w:hAnsi="仿宋" w:eastAsia="仿宋" w:cs="Arial"/>
          <w:color w:val="000000"/>
          <w:sz w:val="32"/>
          <w:szCs w:val="32"/>
        </w:rPr>
        <w:t>教育经费、社会保障增加；</w:t>
      </w:r>
      <w:r>
        <w:rPr>
          <w:rFonts w:ascii="仿宋" w:hAnsi="仿宋" w:eastAsia="仿宋"/>
          <w:color w:val="000000"/>
          <w:sz w:val="32"/>
          <w:szCs w:val="32"/>
        </w:rPr>
        <w:t>政府性基金收支预算增加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0</w:t>
      </w:r>
      <w:r>
        <w:rPr>
          <w:rFonts w:ascii="仿宋" w:hAnsi="仿宋" w:eastAsia="仿宋" w:cs="Arial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ascii="仿宋" w:hAnsi="仿宋" w:eastAsia="仿宋" w:cs="Arial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outlineLvl w:val="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五、一般公共预算支出预算情况说明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22"/>
        <w:rPr>
          <w:rFonts w:hint="eastAsia" w:ascii="仿宋" w:hAnsi="仿宋" w:eastAsia="仿宋"/>
          <w:color w:val="000000"/>
          <w:spacing w:val="6"/>
          <w:kern w:val="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2024年一般公共预算支出年初预算为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570.59</w:t>
      </w:r>
      <w:r>
        <w:rPr>
          <w:rFonts w:ascii="仿宋" w:hAnsi="仿宋" w:eastAsia="仿宋"/>
          <w:color w:val="000000"/>
          <w:sz w:val="32"/>
          <w:szCs w:val="32"/>
        </w:rPr>
        <w:t>万元。</w:t>
      </w:r>
      <w:r>
        <w:rPr>
          <w:rFonts w:hint="eastAsia" w:ascii="仿宋" w:hAnsi="仿宋" w:eastAsia="仿宋"/>
          <w:color w:val="000000"/>
          <w:sz w:val="32"/>
          <w:szCs w:val="32"/>
        </w:rPr>
        <w:t>其中本年支出主要用于以下方面：教育支出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346.09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60.65</w:t>
      </w:r>
      <w:r>
        <w:rPr>
          <w:rFonts w:hint="eastAsia" w:ascii="仿宋" w:hAnsi="仿宋" w:eastAsia="仿宋"/>
          <w:color w:val="000000"/>
          <w:sz w:val="32"/>
          <w:szCs w:val="32"/>
        </w:rPr>
        <w:t>%；社会保障和就业支出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177.45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31.10</w:t>
      </w:r>
      <w:r>
        <w:rPr>
          <w:rFonts w:hint="eastAsia" w:ascii="仿宋" w:hAnsi="仿宋" w:eastAsia="仿宋"/>
          <w:color w:val="000000"/>
          <w:sz w:val="32"/>
          <w:szCs w:val="32"/>
        </w:rPr>
        <w:t>%；卫生健康支出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19.07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3.34</w:t>
      </w:r>
      <w:r>
        <w:rPr>
          <w:rFonts w:hint="eastAsia" w:ascii="仿宋" w:hAnsi="仿宋" w:eastAsia="仿宋"/>
          <w:color w:val="000000"/>
          <w:sz w:val="32"/>
          <w:szCs w:val="32"/>
        </w:rPr>
        <w:t>%；住房保障支出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27.98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4.91</w:t>
      </w:r>
      <w:r>
        <w:rPr>
          <w:rFonts w:hint="eastAsia" w:ascii="仿宋" w:hAnsi="仿宋" w:eastAsia="仿宋"/>
          <w:color w:val="000000"/>
          <w:sz w:val="32"/>
          <w:szCs w:val="32"/>
        </w:rPr>
        <w:t>%。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outlineLvl w:val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六、一般公共预算基本支出预算情况说明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22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2024年一般公共预算基本支出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560.17</w:t>
      </w:r>
      <w:r>
        <w:rPr>
          <w:rFonts w:ascii="仿宋" w:hAnsi="仿宋" w:eastAsia="仿宋"/>
          <w:color w:val="000000"/>
          <w:sz w:val="32"/>
          <w:szCs w:val="32"/>
        </w:rPr>
        <w:t>万元，其中：</w:t>
      </w:r>
      <w:r>
        <w:rPr>
          <w:rFonts w:ascii="仿宋" w:hAnsi="仿宋" w:eastAsia="仿宋"/>
          <w:b/>
          <w:bCs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518.34</w:t>
      </w:r>
      <w:r>
        <w:rPr>
          <w:rFonts w:ascii="仿宋" w:hAnsi="仿宋" w:eastAsia="仿宋"/>
          <w:b/>
          <w:bCs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，主要包括：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基本工资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139.53万元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、津贴补贴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29.24万元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、奖金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65.90万元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、绩效工资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59.17万元、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机关事业单位基本养老保险缴费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37.31万元、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医疗保险缴费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18.60万元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、其他社会保障缴费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0.47万元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、住房公积金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27.98万元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、退休费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140.14万元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；</w:t>
      </w:r>
      <w: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  <w:t>公用经费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41.83</w:t>
      </w:r>
      <w: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  <w:t>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，主要包括：办公费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16.31万元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、工会经费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4.66万元、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印刷费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1.0万元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、邮电费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0.3万元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、差旅费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2.0万元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、维修（护）费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1.0万元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、租赁费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0.5万元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、会议费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0.2万元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、培训费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5.0万元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、公务接待费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0.03万元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、专用材料费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2.0万元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、福利费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5.83万元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、其他商品和服务支出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3.0万元。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outlineLvl w:val="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七、政府性基金预算支出预算情况说明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我单位2024年没有使用政府性基金预算拨款安排的支出。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八、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国有资本经营预算支出预算情况说明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我单位2024年没有使用国有资本经营预算拨款安排的支出。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outlineLvl w:val="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九、一般公共预算“三公”经费支出预算情况说明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2024年一般公共预算“三公”经费支出预算为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0.03</w:t>
      </w:r>
      <w:r>
        <w:rPr>
          <w:rFonts w:ascii="仿宋" w:hAnsi="仿宋" w:eastAsia="仿宋"/>
          <w:color w:val="000000"/>
          <w:sz w:val="32"/>
          <w:szCs w:val="32"/>
        </w:rPr>
        <w:t>万元，与上年持平。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具体支出情况如下：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580" w:lineRule="exact"/>
        <w:ind w:firstLine="636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万元，主要用于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，比上年预算数减少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万元，下降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%，主要原因：无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580" w:lineRule="exact"/>
        <w:ind w:firstLine="636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万</w:t>
      </w:r>
      <w:r>
        <w:rPr>
          <w:rFonts w:ascii="仿宋" w:hAnsi="仿宋" w:eastAsia="仿宋"/>
          <w:color w:val="000000"/>
          <w:sz w:val="32"/>
          <w:szCs w:val="32"/>
        </w:rPr>
        <w:t>元。其中公务车辆购置费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万元，主要用于无,比上年减少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万元，较上年下降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%，主要原因：无；</w:t>
      </w:r>
      <w:r>
        <w:rPr>
          <w:rFonts w:ascii="仿宋" w:hAnsi="仿宋" w:eastAsia="仿宋"/>
          <w:color w:val="000000"/>
          <w:sz w:val="32"/>
          <w:szCs w:val="32"/>
        </w:rPr>
        <w:t xml:space="preserve">公务用车运行维护费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，主要用于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无</w:t>
      </w:r>
      <w:r>
        <w:rPr>
          <w:rFonts w:ascii="仿宋" w:hAnsi="仿宋" w:eastAsia="仿宋"/>
          <w:color w:val="000000"/>
          <w:sz w:val="32"/>
          <w:szCs w:val="32"/>
        </w:rPr>
        <w:t>,比上年减少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万元，较上年下降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%，主要原因：无。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6" w:firstLineChars="200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0.03</w:t>
      </w:r>
      <w:r>
        <w:rPr>
          <w:rFonts w:ascii="仿宋" w:hAnsi="仿宋" w:eastAsia="仿宋"/>
          <w:color w:val="000000"/>
          <w:sz w:val="32"/>
          <w:szCs w:val="32"/>
        </w:rPr>
        <w:t>万元，主要用于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公务接待，</w:t>
      </w:r>
      <w:r>
        <w:rPr>
          <w:rFonts w:ascii="仿宋" w:hAnsi="仿宋" w:eastAsia="仿宋"/>
          <w:color w:val="000000"/>
          <w:sz w:val="32"/>
          <w:szCs w:val="32"/>
        </w:rPr>
        <w:t>与上年持平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（一）机关（机构）运行经费支出情况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2024年机关（机构）运行经费支出预算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31.34</w:t>
      </w:r>
      <w:r>
        <w:rPr>
          <w:rFonts w:ascii="仿宋" w:hAnsi="仿宋" w:eastAsia="仿宋"/>
          <w:color w:val="000000"/>
          <w:sz w:val="32"/>
          <w:szCs w:val="32"/>
        </w:rPr>
        <w:t>万元，主要保障机关（机构）正常运转及正常履职需要的办公费、水电费、物业费、维修费、差旅费等支出，比上年增加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4.85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8.31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%，主要原因：公用经费增加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2024年我单位无政府采购预算安排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2024年焦作市第十四中学按要求编制了绩效目标，综合反映了单位各项目预期完成的成本指标、产出指标、效益指标和满意度指标等情况。2024年，我单位纳入预算绩效管理的项目支出</w:t>
      </w:r>
      <w:r>
        <w:rPr>
          <w:rFonts w:hint="eastAsia" w:ascii="仿宋" w:hAnsi="仿宋" w:eastAsia="仿宋"/>
          <w:color w:val="000000"/>
          <w:sz w:val="32"/>
          <w:szCs w:val="32"/>
        </w:rPr>
        <w:t>10.42</w:t>
      </w:r>
      <w:r>
        <w:rPr>
          <w:rFonts w:ascii="仿宋" w:hAnsi="仿宋" w:eastAsia="仿宋"/>
          <w:color w:val="000000"/>
          <w:sz w:val="32"/>
          <w:szCs w:val="32"/>
        </w:rPr>
        <w:t>万元，涉及项目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个。</w:t>
      </w:r>
      <w:r>
        <w:rPr>
          <w:rFonts w:hint="eastAsia" w:ascii="仿宋" w:hAnsi="仿宋" w:eastAsia="仿宋"/>
          <w:color w:val="000000"/>
          <w:sz w:val="32"/>
          <w:szCs w:val="32"/>
        </w:rPr>
        <w:t>我单位无重点项目预算的绩效目标。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_GB2312"/>
          <w:color w:val="000000"/>
          <w:sz w:val="32"/>
          <w:szCs w:val="32"/>
          <w:highlight w:val="none"/>
        </w:rPr>
        <w:t>（四）国有资产占用情况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上年期末，焦作市第十四中学固定资产总额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万元，其中，房屋建筑物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万元，车辆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万元，办公设备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万元，专用设备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万元，其他资产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万元。车辆共有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辆，其中：一般公务用车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辆，执法执勤车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辆；单位价值50万元以上通用设备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台（套），单位价值100万元以上专用设备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台（套）。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2024年我单位无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专项转移支付项目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2024年我单位按照预算公开要求，将所属单位全部纳入预算公开范围。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仿宋" w:hAnsi="仿宋" w:eastAsia="仿宋"/>
          <w:color w:val="000000"/>
          <w:sz w:val="36"/>
          <w:szCs w:val="36"/>
        </w:rPr>
      </w:pP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第三部分  名词解释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一、财政拨款收入：是指市级财政当年拨付的资金。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 w:cs="Courier New"/>
          <w:color w:val="000000"/>
          <w:sz w:val="32"/>
          <w:szCs w:val="32"/>
        </w:rPr>
        <w:t>七、机关（机构）运行经费：是指为保障机关（</w:t>
      </w:r>
      <w:r>
        <w:rPr>
          <w:rFonts w:ascii="仿宋" w:hAnsi="仿宋" w:eastAsia="仿宋"/>
          <w:color w:val="000000"/>
          <w:sz w:val="32"/>
          <w:szCs w:val="32"/>
        </w:rPr>
        <w:t>机构）正常运转及正常履职需要的办公费、水电费、日常维修、物业费、维修费、差旅费、</w:t>
      </w:r>
      <w:r>
        <w:rPr>
          <w:rFonts w:ascii="仿宋" w:hAnsi="仿宋" w:eastAsia="仿宋" w:cs="Courier New"/>
          <w:color w:val="000000"/>
          <w:sz w:val="32"/>
          <w:szCs w:val="32"/>
        </w:rPr>
        <w:t>公务用车运行维护费以及其他费用</w:t>
      </w:r>
      <w:r>
        <w:rPr>
          <w:rFonts w:ascii="仿宋" w:hAnsi="仿宋" w:eastAsia="仿宋"/>
          <w:color w:val="000000"/>
          <w:sz w:val="32"/>
          <w:szCs w:val="32"/>
        </w:rPr>
        <w:t>等支出。</w:t>
      </w:r>
    </w:p>
    <w:p>
      <w:pPr>
        <w:ind w:firstLine="640" w:firstLineChars="2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八、教育支出：反映政府教育事务支出。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7631A"/>
    <w:multiLevelType w:val="multilevel"/>
    <w:tmpl w:val="3747631A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1F34F56"/>
    <w:multiLevelType w:val="multilevel"/>
    <w:tmpl w:val="41F34F5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F6C"/>
    <w:rsid w:val="00012610"/>
    <w:rsid w:val="000156F0"/>
    <w:rsid w:val="001943CC"/>
    <w:rsid w:val="00196268"/>
    <w:rsid w:val="001D2473"/>
    <w:rsid w:val="00213D6B"/>
    <w:rsid w:val="00274561"/>
    <w:rsid w:val="002C4D52"/>
    <w:rsid w:val="003540AD"/>
    <w:rsid w:val="00354290"/>
    <w:rsid w:val="004932AC"/>
    <w:rsid w:val="00673B74"/>
    <w:rsid w:val="006C026D"/>
    <w:rsid w:val="0073528E"/>
    <w:rsid w:val="007D0785"/>
    <w:rsid w:val="007E7D63"/>
    <w:rsid w:val="00957F6C"/>
    <w:rsid w:val="00A3169C"/>
    <w:rsid w:val="00A354FC"/>
    <w:rsid w:val="00A861C7"/>
    <w:rsid w:val="00AC0021"/>
    <w:rsid w:val="00B266F6"/>
    <w:rsid w:val="00B56F7D"/>
    <w:rsid w:val="00B73C9D"/>
    <w:rsid w:val="00C222E3"/>
    <w:rsid w:val="00DD6614"/>
    <w:rsid w:val="00E47B2D"/>
    <w:rsid w:val="00EA1F98"/>
    <w:rsid w:val="00EB145B"/>
    <w:rsid w:val="489A1AFA"/>
    <w:rsid w:val="500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370</Words>
  <Characters>2110</Characters>
  <Lines>17</Lines>
  <Paragraphs>4</Paragraphs>
  <TotalTime>4</TotalTime>
  <ScaleCrop>false</ScaleCrop>
  <LinksUpToDate>false</LinksUpToDate>
  <CharactersWithSpaces>2476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2024-03-04T06:03:00Z</dcterms:created>
  <dc:creator>User</dc:creator>
  <cp:lastModifiedBy>Administrator</cp:lastModifiedBy>
  <dcterms:modified xsi:type="dcterms:W3CDTF">2024-03-13T00:55:57Z</dcterms:modified>
  <dc:title>ＸＸ部门（单位）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