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eastAsia="黑体"/>
          <w:color w:val="000000"/>
          <w:sz w:val="52"/>
          <w:szCs w:val="52"/>
          <w:lang w:val="en-US" w:eastAsia="zh-CN"/>
        </w:rPr>
      </w:pPr>
      <w:r>
        <w:rPr>
          <w:rFonts w:hint="eastAsia" w:eastAsia="黑体"/>
          <w:color w:val="000000"/>
          <w:sz w:val="52"/>
          <w:szCs w:val="52"/>
          <w:lang w:val="en-US" w:eastAsia="zh-CN"/>
        </w:rPr>
        <w:t>焦作市中站区市场监督管理局</w:t>
      </w: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  <w:r>
        <w:rPr>
          <w:rFonts w:hint="eastAsia" w:ascii="Times New Roman" w:hAnsi="Times New Roman" w:eastAsia="黑体"/>
          <w:color w:val="000000"/>
          <w:sz w:val="52"/>
          <w:szCs w:val="52"/>
        </w:rPr>
        <w:t>202</w:t>
      </w:r>
      <w:r>
        <w:rPr>
          <w:rFonts w:hint="eastAsia" w:ascii="Times New Roman" w:hAnsi="Times New Roman" w:eastAsia="黑体"/>
          <w:color w:val="000000"/>
          <w:sz w:val="52"/>
          <w:szCs w:val="52"/>
          <w:lang w:val="en-US" w:eastAsia="zh-CN"/>
        </w:rPr>
        <w:t>4</w:t>
      </w:r>
      <w:r>
        <w:rPr>
          <w:rFonts w:hint="eastAsia" w:ascii="Times New Roman" w:hAnsi="Times New Roman" w:eastAsia="黑体"/>
          <w:color w:val="000000"/>
          <w:sz w:val="52"/>
          <w:szCs w:val="52"/>
        </w:rPr>
        <w:t>年度部门预算</w:t>
      </w: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黑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二○二</w:t>
      </w:r>
      <w:r>
        <w:rPr>
          <w:rFonts w:hint="eastAsia" w:ascii="Times New Roman" w:hAnsi="Times New Roman" w:eastAsia="黑体" w:cs="方正小标宋简体"/>
          <w:color w:val="00000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年</w:t>
      </w:r>
      <w:r>
        <w:rPr>
          <w:rFonts w:hint="eastAsia" w:eastAsia="黑体" w:cs="方正小标宋简体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 xml:space="preserve">目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2"/>
          <w:sz w:val="44"/>
          <w:szCs w:val="4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hint="eastAsia" w:ascii="Times New Roman" w:hAnsi="Times New Roman" w:eastAsia="仿宋_GB2312" w:cs="仿宋_GB2312"/>
          <w:w w:val="99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Times New Roman" w:hAnsi="Times New Roman" w:eastAsia="仿宋_GB2312" w:cs="仿宋_GB2312"/>
          <w:w w:val="99"/>
          <w:sz w:val="32"/>
          <w:szCs w:val="32"/>
        </w:rPr>
        <w:t xml:space="preserve"> 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一、主要职能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二、预算单位构成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第二部分 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焦作市中站区市场监督管理局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年度预算情况说明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第三部分 名词解释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焦作市中站区市场监督管理局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一、部门收支预算表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二、部门收入预算表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三、部门支出预算表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四、财政拨款收支预算表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五、一般公共预算支出预算表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六、一般公共预算基本支出预算表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七、一般公共预算基本支出明细表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八、支出经济分类汇总表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九、一般公共预算“三公”经费预算表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十、政府性基金支出预算表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十一、国有资本经营支出预算表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十二、项目支出预算表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十三、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机关（机构）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运行经费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十四、本级部门（单位）整体绩效目标表</w:t>
      </w:r>
    </w:p>
    <w:p>
      <w:pPr>
        <w:overflowPunct w:val="0"/>
        <w:adjustRightInd w:val="0"/>
        <w:snapToGrid w:val="0"/>
        <w:spacing w:line="550" w:lineRule="exact"/>
        <w:ind w:firstLine="940" w:firstLineChars="294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十五、本级部门（单位）预算项目绩效目标表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黑体" w:cs="仿宋_GB2312"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  <w:lang w:val="en-US" w:eastAsia="zh-CN"/>
        </w:rPr>
        <w:t>焦作市中站区市场监督管理局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>（一）机构设置情况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焦作市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中站区市场监督管理局是区政府工作部门，为正科级，挂中站区知识产权局牌子。机关行政编制22名，派出机构行政编制18名。暂核定局长1名，副局长3名。内设股室24个。直属事业单位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个：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中站区市场监管综合行政执法大队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>（二）部门职责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1、负责全区市场综合监督管理。组织实施国家、省、市市场监督管理有关法律和政策，起草市场监督管理有关制度和规范性文件，制定有关政策、标准，组织实施质量强区战略、食品药品安全战略、标准化战略、知识产权战略。拟订并组织实施有关规划，规范和维护市场秩序，营造诚实守信、公平竞争的市场环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2、负责全区市场主体统一登记注册。组织指导全区各类企业、农民专业合作社和从事经营活动的单位、个体工商户等市场主体的登记注册工作。建立市场主体信息公示和共享机制，依法公示和共享有关信息，加强信用监管，推动市场主体信用体系建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3、负责组织和指导全区市场监管综合执法工作。指导全区市场监管综合执法队伍建设，组织查处重大复杂案件，协调跨区域执法工作。规范全区市场监管行政执法行为。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4、负责全区反垄断统一执法。统筹推进竞争政策实施，指导实施公平竞争审查制度。根据授权，承担相关反垄断执法工作。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5、负责监督管理市场秩序。依法监督管理市场交易、网络商品交易及有关服务的行为。组织指导查处不正当竞争、违法直销、传销、侵犯商标专利知识产权和制售假冒伪劣行为。组织指导并实施全区价格监督检查工作。指导全区广告业发展，监督管理广告活动。指导查处无照生产经营和相关无证生产经营行为。拟订全区消费者权益保护的具体措施，指导中站区消费者协会开展消费维权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6、负责全区宏观质量管理。拟订并实施质量发展的制度措施。统筹全区质量基础设施建设与应用。会同有关部门组织实施重大工程设备质量监理制度，组织重大产品质量事故调查，建立并统一实施缺陷产品召回制度，监督管理产品防伪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7、负责全区产品质量安全监督管理。组织实施产品质量安全风险监控和监督抽查工作。组织实施质量分级制度、质量安全追溯制度。负责全区工业产品生产许可管理工作。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8、负责全区特种设备安全监督管理。综合管理特种设备安全监察、监督工作，监督检查高耗能特种设备节能标准和锅炉环境保护标准的执行情况。组织指导特种设备安全事故调查工作。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9、负责全区食品安全监督管理综合协调。组织拟订全区食品安全政策措施并组织实施。负责食品安全应急体系建设，组织指导重大食品安全事件应急处置和调查处理工作。建立健全食品安全重要信息直报制度。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10、负责全区食品安全监督管理。建立覆盖全区食品生产、流通、消费全过程的监督检查制度和隐患排查治理机制并组织实施，防范区域性、系统性食品安全风险。推动建立食品生产经营者落实主体责任的机制，指导企业建立健全食品安全追溯体系。组织开展全区食品及相关产品安全监督抽检、风险监测、核查处置和风险预警、风险交流工作。负责全区食品生产许可，组织实施全区特殊食品注册相关工作、备案和监督管理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11、负责全区药品（含中药、民族药，下同）、医疗器械和化妆品安全监督管理。负责全区药品、医疗器械和化妆品质量管理和监督检查。负责全区药品、医疗器械和化妆品上市后风险管理。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12、负责统一管理全区计量工作。推行法定计量单位和国家计量制度，管理计量器具及量值传递和比对工作。规范、监督商品量和市场计量行为。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13、负责统一管理全区标准化工作。组织实施标准化法律法规。依法承担地方标准组织制定工作。依法协调指导和监督地方标准、团体标准、企业标准制定工作。管理全区商品条码工作。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14、负责统一管理全区检验检测工作。拟订全区检验检测工作制度并组织实施，推进检验检测机构改革，规范检验检测市场，完善检验检测体系，指导协调检验检测行业发展。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15、负责统一管理、监督和综合协调全区认证认可工作。组织实施国家、省、市统一的认证认可和合格评定监督管理制度。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16、负责全区知识产权监督管理和保护运用。拟订实施知识产权创造、保护、运用和交易运营的政策、规划。建设完善知识产权保护体系、公共服务体系、指导商标专利执法，保护知识产权，促进知识产权创造和运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17、负责市场监督管理科技和信息化建设、新闻宣传、对外交流与合作。按规定承担技术性贸易措施有关工作。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18、负责促进全区非公经济发展，指导、协调全区市场监督管理系统开展小微企业、个体工商户、专业市场党建工作。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19、完成区委、区政府交办的其他任务。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中站区市场监督管理局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本预算为包括本级预算和所属单位预算在内的汇总预算，预算单位构成：1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焦作市中站区市场监督管理局本级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第二部分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eastAsia="黑体" w:cs="仿宋_GB2312"/>
          <w:bCs/>
          <w:color w:val="000000"/>
          <w:sz w:val="36"/>
          <w:szCs w:val="36"/>
          <w:lang w:val="en-US" w:eastAsia="zh-CN"/>
        </w:rPr>
      </w:pPr>
      <w:r>
        <w:rPr>
          <w:rFonts w:hint="eastAsia" w:eastAsia="黑体" w:cs="仿宋_GB2312"/>
          <w:bCs/>
          <w:color w:val="000000"/>
          <w:sz w:val="36"/>
          <w:szCs w:val="36"/>
          <w:lang w:val="en-US" w:eastAsia="zh-CN"/>
        </w:rPr>
        <w:t>焦作市中站区市场监督管理局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年度预算情况说明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Arial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年收入总计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688.57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688.57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万元，与上年相比，收、支总计各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减少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47.36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下降6.44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%。主要原因：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二级机构重塑性改革，2名人员调出，人员经费减少；预算项目支出减少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年收入合计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688.57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688.57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万元; 政府性基金预算收入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万元；国有资本经营预算收</w:t>
      </w:r>
      <w:r>
        <w:rPr>
          <w:rFonts w:hint="eastAsia" w:ascii="Times New Roman" w:hAnsi="Times New Roman" w:eastAsia="仿宋_GB2312" w:cs="仿宋_GB2312"/>
          <w:color w:val="000000"/>
          <w:spacing w:val="6"/>
          <w:sz w:val="32"/>
          <w:szCs w:val="32"/>
        </w:rPr>
        <w:t>入</w:t>
      </w:r>
      <w:r>
        <w:rPr>
          <w:rFonts w:hint="eastAsia" w:eastAsia="仿宋_GB2312" w:cs="Arial"/>
          <w:color w:val="000000"/>
          <w:spacing w:val="6"/>
          <w:sz w:val="32"/>
          <w:szCs w:val="32"/>
          <w:lang w:val="en-US" w:eastAsia="zh-CN"/>
        </w:rPr>
        <w:t>0.00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</w:rPr>
        <w:t>万元；财政专户管理资金收入</w:t>
      </w:r>
      <w:r>
        <w:rPr>
          <w:rFonts w:hint="eastAsia" w:eastAsia="仿宋_GB2312" w:cs="Arial"/>
          <w:color w:val="000000"/>
          <w:spacing w:val="6"/>
          <w:sz w:val="32"/>
          <w:szCs w:val="32"/>
          <w:lang w:val="en-US" w:eastAsia="zh-CN"/>
        </w:rPr>
        <w:t>0.00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</w:rPr>
        <w:t>万元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年支出合计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688.57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489.39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71.07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199.18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28.93%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年一般公共预算收支预算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688.57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万元，政府性基金收支预算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万元。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与上年相比，一般公共预算收支预算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减少47.36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下降6.44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%。主要原因：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二级机构重塑性改革，2名人员调出，人员经费减少；预算项目支出减少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政府性基金收支预算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与上年度持平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22"/>
        <w:textAlignment w:val="auto"/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年一般公共预算支出年初预算为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688.57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万元。其中本年支出主要用于以下方面：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一般公共服务支出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587.52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85.32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%；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社会保障和就业支出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47.12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6.84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%；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eastAsia="zh-CN"/>
        </w:rPr>
        <w:t>卫生健康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支出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21.31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3.10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%；住房保障支出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32.62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4.74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22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一般公共预算基本支出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489.39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万元，其中：</w:t>
      </w:r>
      <w:r>
        <w:rPr>
          <w:rFonts w:hint="eastAsia" w:ascii="Times New Roman" w:hAnsi="Times New Roman" w:eastAsia="仿宋_GB2312" w:cs="仿宋_GB2312"/>
          <w:b/>
          <w:color w:val="auto"/>
          <w:spacing w:val="-1"/>
          <w:kern w:val="0"/>
          <w:sz w:val="32"/>
          <w:szCs w:val="32"/>
        </w:rPr>
        <w:t>人员经费</w:t>
      </w:r>
      <w:r>
        <w:rPr>
          <w:rFonts w:hint="eastAsia" w:eastAsia="仿宋_GB2312" w:cs="仿宋_GB2312"/>
          <w:b/>
          <w:color w:val="auto"/>
          <w:kern w:val="0"/>
          <w:sz w:val="32"/>
          <w:szCs w:val="32"/>
          <w:lang w:val="en-US" w:eastAsia="zh-CN"/>
        </w:rPr>
        <w:t>461.99</w:t>
      </w: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，主要包括：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基本工资、津贴补贴、奖金、绩效工资、机关事业单位基本养老保险缴费、医疗保险缴费、其他社会保障缴费、住房公积金；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</w:rPr>
        <w:t>公用经费</w:t>
      </w:r>
      <w:r>
        <w:rPr>
          <w:rFonts w:hint="eastAsia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27.40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，主要包括：办公费、印刷费、水费、电费、邮电费、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工会经费、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差旅费、培训费、公务接待费、福利费、公务用车运行维护费、其他交通费用、其他商品和服务支出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我单位202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年没有使用政府性基金预算拨款安排的支出。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八、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我单位202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年没有使用国有资本经营预算拨款安排的支出。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九、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eastAsia="zh-CN"/>
        </w:rPr>
        <w:t>一般公共预算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“三公”经费支出预算情况说明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一般公共预算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“三公”经费支出预算为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1.28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万元，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与2023年预算数相比无增减。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）因公出国（境）费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万元，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与2023年预算数相比无增减。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）公务用车购置及运行费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1.20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万元。其中公务车辆购置费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万元，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与202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年预算数相比无增减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；公务用车运行维护费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1.2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万元，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与202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年预算数相比无增减。</w:t>
      </w:r>
    </w:p>
    <w:p>
      <w:pPr>
        <w:pStyle w:val="2"/>
        <w:rPr>
          <w:rFonts w:hint="eastAsia"/>
          <w:lang w:val="en-US" w:eastAsia="zh-CN"/>
        </w:rPr>
      </w:pPr>
      <w:r>
        <w:rPr>
          <w:rFonts w:ascii="楷体_GB2312" w:hAnsi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Times New Roman" w:hAnsi="Times New Roman"/>
          <w:color w:val="000000"/>
          <w:kern w:val="0"/>
          <w:sz w:val="32"/>
          <w:szCs w:val="32"/>
          <w:lang w:val="en-US" w:eastAsia="zh-CN"/>
        </w:rPr>
        <w:t>0.08</w:t>
      </w:r>
      <w:r>
        <w:rPr>
          <w:rFonts w:ascii="仿宋_GB2312" w:hAnsi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与2023年预算数相比无增减。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机关（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机构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运行经费支出情况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机关（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机构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运行经费支出预算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12.09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万元，主要保障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机关（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机构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正常运转及正常履职需要的办公费、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印刷费、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水电费、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电费、邮电费、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差旅费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培训费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等支出，比上年减少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0.93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万元，下降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7.14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压减办公经费、电费等支出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年政府采购预算安排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政府采购货物预算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万元、政府采购工程预算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万元、政府采购服务预算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2024年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>焦作市中站区市场监督管理局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按要求编制了绩效目标，包括部门整体绩效目标和项目支出绩效目标，综合反映了部门整体投入管理、产出、效益指标及各项目预期完成的成本指标、产出指标、效益指标和满意度指标等情况。2024年，我部门纳入预算绩效管理的支出总额为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>688.57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元。其中：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基本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支出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>489.39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万元；项目支出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>199.18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万元，涉及项目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个。我部门无重点项目预算的绩效目标。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上年期末，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>焦作市中站区市场监督管理局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固定资产总额</w:t>
      </w:r>
      <w:r>
        <w:rPr>
          <w:rFonts w:ascii="宋体" w:hAnsi="宋体" w:eastAsia="宋体" w:cs="宋体"/>
          <w:b w:val="0"/>
          <w:i w:val="0"/>
          <w:sz w:val="32"/>
          <w:szCs w:val="32"/>
          <w:u w:val="none"/>
        </w:rPr>
        <w:t>239.13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万元，其中，房屋建筑物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万元，车辆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76.51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万元，办公设备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95.07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万元，专用设备</w:t>
      </w:r>
      <w:r>
        <w:rPr>
          <w:rFonts w:hint="eastAsia" w:ascii="仿宋_GB2312" w:hAnsi="仿宋_GB2312"/>
          <w:color w:val="000000"/>
          <w:kern w:val="0"/>
          <w:sz w:val="32"/>
          <w:szCs w:val="32"/>
          <w:lang w:val="en-US" w:eastAsia="zh-CN"/>
        </w:rPr>
        <w:t>55.12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万元，其他资产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12.43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万元。车辆共有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辆，其中：一般公务用车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辆，执法执勤车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新能源电动车4辆，食品快速检验车1辆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；单位价值50万元以上通用设备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台（套），单位价值100万元以上专用设备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台（套）。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我部门负责管理的专项转移支付项目共有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（六）关于预算部门构成说明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年我单位按照预算公开要求，将所属单位全部纳入预算公开范围。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黑体"/>
          <w:bCs/>
          <w:color w:val="00000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黑体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6"/>
        </w:rPr>
        <w:t>第三部分  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一、财政拨款收入：是指市级财政当年拨付的资金。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二、事业收入：是指事业单位开展专业活动及辅助活动所取 得的收入。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七、行政（事业）单位机构运行经费：是指为保障行政（事业）单位机构正常运转及正常履职需要的办公费、水电费、日常维修、物业费、维修费、差旅费、公务用车运行维护费以及其他费用等支出。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八、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市场秩序执法：是指反垄断、价格监管、反不正当竞争、打击传销、网络交易监管、广告监管、消费者维权保护、综合执法等市场秩序执法专项工作支出。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九、质量基础：是指计量、标准、认证认可、检验检测等质量基础专项工作支出。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十、药品事务：是指用于药品监督管理方面的支出。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十一、食品安全监管：是指食品安全监管等专项工作支出。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十二、其他市场监督管理事务：是指用于其他市场监督管理事务方面的支出。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N2U1OGI1MjA3NTQ1MDJiMDhhYzg2ZTM4NWUyYWYifQ=="/>
  </w:docVars>
  <w:rsids>
    <w:rsidRoot w:val="48DD4969"/>
    <w:rsid w:val="028916DF"/>
    <w:rsid w:val="04D06C61"/>
    <w:rsid w:val="09C36515"/>
    <w:rsid w:val="15A00DC2"/>
    <w:rsid w:val="1D1F4CC2"/>
    <w:rsid w:val="23BA5744"/>
    <w:rsid w:val="2E161EA3"/>
    <w:rsid w:val="39CD7B28"/>
    <w:rsid w:val="3DFA6675"/>
    <w:rsid w:val="48DD4969"/>
    <w:rsid w:val="4B0C5FD6"/>
    <w:rsid w:val="527821A3"/>
    <w:rsid w:val="59F760A3"/>
    <w:rsid w:val="5E8C0E47"/>
    <w:rsid w:val="6AB46016"/>
    <w:rsid w:val="6DA22A9E"/>
    <w:rsid w:val="6F865AA7"/>
    <w:rsid w:val="72800FB6"/>
    <w:rsid w:val="738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00" w:lineRule="exact"/>
      <w:ind w:firstLine="200" w:firstLineChars="200"/>
    </w:pPr>
    <w:rPr>
      <w:rFonts w:eastAsia="仿宋_GB2312"/>
      <w:sz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widowControl/>
      <w:spacing w:after="0"/>
      <w:ind w:left="0" w:leftChars="0" w:firstLine="420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2024-03-04T00:02:00Z</dcterms:created>
  <dc:creator>111</dc:creator>
  <cp:lastModifiedBy>Administrator</cp:lastModifiedBy>
  <dcterms:modified xsi:type="dcterms:W3CDTF">2024-03-08T03:25:27Z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3C03CC1685D143179FEE8D3FDD890912_11</vt:lpwstr>
  </property>
</Properties>
</file>