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《河南省加快制造业“六新”突破实施方案》政策解读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</w:rPr>
        <w:t>　　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近日，省政府印发了《河南省加快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制造业“六新”突破实施方案》（以下简称《实施方案》）。现就《实施方案》有关内容解读如下：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</w:t>
      </w:r>
      <w:r>
        <w:rPr>
          <w:rStyle w:val="6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一、《实施方案》出台的背景及意义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省委十一届五次全会明确提出要聚焦“六新”突破，以推进新型工业化引领和支持中国式现代化建设河南实践。全省新型工业化暨重点产业链培育推进大会对制造业“六新”突破进一步安排部署，要前瞻布局新基建、聚力攻克新技术、大力发展新材料，积极打造新装备，多元拓展新产品，加快培育新业态，把“六新”突破作为提升战略竞争力的关键举措。当前，我省面临新一轮科技革命和产业变革的重大历史机遇，正处于形成以新质生产力为先导、战略性新兴产业为主导、传统产业为支撑的现代化产业体系的攻坚突破期，这需要我们制定新的实施方案，以制造业高质量发展为主攻方向，以科技创新为引领，塑造我省发展新动能新优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Style w:val="6"/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二、《实施方案》的主要内容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《实施方案》共八个部分。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第一部分为总体要求。主要包括指导思想和主要目标两项内容。提出到2025年，“六新”突破取得明显成效，新基建逐步夯实、新技术群体突破、新材料迭代更新、新装备规模提升、新产品持续涌现、新业态普遍形成，推动形成以传统产业为基础、新兴产业为支柱、未来产业为先导的先进制造业体系，制造业增加值占生产总值的比重、战略性新兴产业占规上工业增加值比重均超过30%，先进制造业综合实力进入全国前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第二部分为前瞻布局新基建。坚持适度超前、统筹布局，聚焦优化升级网络基础设施、统筹布局算力基础设施、积极发展技术基础设施等三大领域，加快构建系统完备、高效实用、智能绿色、安全可靠的新基建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第三部分为聚力攻克新技术。围绕提升产业基础能力、攻坚关键共性技术、引育重大创新平台、推进科研设施共享、加强科技成果转化等五个方面，加快建设高水平产业科技创新体系。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第四部分为大力发展新材料。把新材料作为新兴产业发展的基石和先导，聚焦先进基础材料、关键战略材料、前沿新材料等领域，推动全省新材料产业产品高端化、结构合理化、发展绿色化、体系安全化。到2025年，全省新材料产业规模突破1万亿元，实现从原材料大省向新材料强省转变，为制造强省建设提供有力支撑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第五部分为积极打造新装备。推动传统优势装备改造提升、新兴装备培育壮大、战略前沿装备加快布局，加快装备制造业大型化、智能化、服务化、国际化转型。到2025年，全省新装备产业规模突破6000亿元，形成一批特色优势产业集群，再造装备制造业新优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第六部分为多元拓展新产品。深入实施制造业增品种、提品质、创品牌“三品”战略，从加大新品研发力度、提高工业设计水平、打造中试验证平台、加强质量品牌建设、促进资源循环利用五个方面加强新技术、新设计、新材料、新工艺对供给体系的增势赋能，推动河南制造向河南创造转变、河南速度向河南质量转变、河南产品向河南品牌转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第七部分为加快培育新业态。顺应制造业数字化、智能化、绿色化、融合化发展新趋势，通过深化数字化管理、开展平台化设计、实施智能化制造、促进网络化协同、发展个性化定制、推动服务化延伸等六大举措，赋能产业结构升级，促进质量变革、效率变革和动力变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000000"/>
          <w:spacing w:val="0"/>
          <w:sz w:val="32"/>
          <w:szCs w:val="32"/>
        </w:rPr>
        <w:t>　　第八部分为组织实施。在加强组织领导、加大政策支持、强化金融服务、突出人才支撑、加强督导考评等五个方面提出了组织实施具体措施，加大工作推进力度，确保实施方案落到实处。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F8A7E1-831D-48C7-A831-E96397D939F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7AA315EB-8276-41C9-9D87-530E0689F96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7A20910-28AC-4DF7-89D2-67106ECA35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NTc0Mzg5MDYyM2QyM2IzN2NkN2EwMjcwNDU4MzMifQ=="/>
  </w:docVars>
  <w:rsids>
    <w:rsidRoot w:val="00000000"/>
    <w:rsid w:val="12FD2146"/>
    <w:rsid w:val="52B935D5"/>
    <w:rsid w:val="6B9B4457"/>
    <w:rsid w:val="76F8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黑体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1393</Words>
  <Characters>1412</Characters>
  <Lines>0</Lines>
  <Paragraphs>0</Paragraphs>
  <TotalTime>2</TotalTime>
  <ScaleCrop>false</ScaleCrop>
  <LinksUpToDate>false</LinksUpToDate>
  <CharactersWithSpaces>1439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2024-04-22T06:35:00Z</dcterms:created>
  <dc:creator>Administrator</dc:creator>
  <cp:lastModifiedBy>WPS_1690445012</cp:lastModifiedBy>
  <dcterms:modified xsi:type="dcterms:W3CDTF">2024-05-30T00:30:54Z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6E0D975F82C040FF9C1E852E9BDCD157_12</vt:lpwstr>
  </property>
</Properties>
</file>