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w w:val="97"/>
          <w:sz w:val="44"/>
          <w:szCs w:val="44"/>
          <w:lang w:val="en-US" w:eastAsia="zh-CN"/>
        </w:rPr>
      </w:pPr>
      <w:r>
        <w:rPr>
          <w:rFonts w:hint="eastAsia" w:ascii="方正小标宋简体" w:hAnsi="方正小标宋简体" w:eastAsia="方正小标宋简体" w:cs="方正小标宋简体"/>
          <w:b w:val="0"/>
          <w:bCs w:val="0"/>
          <w:w w:val="97"/>
          <w:sz w:val="44"/>
          <w:szCs w:val="44"/>
          <w:lang w:val="en-US" w:eastAsia="zh-CN"/>
        </w:rPr>
        <w:t>王</w:t>
      </w:r>
      <w:r>
        <w:rPr>
          <w:rFonts w:hint="eastAsia" w:ascii="方正小标宋简体" w:hAnsi="方正小标宋简体" w:eastAsia="方正小标宋简体" w:cs="方正小标宋简体"/>
          <w:b w:val="0"/>
          <w:bCs w:val="0"/>
          <w:w w:val="97"/>
          <w:sz w:val="44"/>
          <w:szCs w:val="44"/>
        </w:rPr>
        <w:t>封街道</w:t>
      </w:r>
      <w:r>
        <w:rPr>
          <w:rFonts w:hint="eastAsia" w:ascii="方正小标宋简体" w:hAnsi="方正小标宋简体" w:eastAsia="方正小标宋简体" w:cs="方正小标宋简体"/>
          <w:b w:val="0"/>
          <w:bCs w:val="0"/>
          <w:w w:val="97"/>
          <w:sz w:val="44"/>
          <w:szCs w:val="44"/>
          <w:lang w:val="en-US" w:eastAsia="zh-CN"/>
        </w:rPr>
        <w:t>办事处</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w w:val="97"/>
          <w:sz w:val="44"/>
          <w:szCs w:val="44"/>
        </w:rPr>
      </w:pPr>
      <w:r>
        <w:rPr>
          <w:rFonts w:hint="eastAsia" w:ascii="方正小标宋简体" w:hAnsi="方正小标宋简体" w:eastAsia="方正小标宋简体" w:cs="方正小标宋简体"/>
          <w:b w:val="0"/>
          <w:bCs w:val="0"/>
          <w:w w:val="97"/>
          <w:sz w:val="44"/>
          <w:szCs w:val="44"/>
        </w:rPr>
        <w:t>关于202</w:t>
      </w:r>
      <w:r>
        <w:rPr>
          <w:rFonts w:hint="eastAsia" w:ascii="方正小标宋简体" w:hAnsi="方正小标宋简体" w:eastAsia="方正小标宋简体" w:cs="方正小标宋简体"/>
          <w:b w:val="0"/>
          <w:bCs w:val="0"/>
          <w:w w:val="97"/>
          <w:sz w:val="44"/>
          <w:szCs w:val="44"/>
          <w:lang w:val="en-US" w:eastAsia="zh-CN"/>
        </w:rPr>
        <w:t>3</w:t>
      </w:r>
      <w:r>
        <w:rPr>
          <w:rFonts w:hint="eastAsia" w:ascii="方正小标宋简体" w:hAnsi="方正小标宋简体" w:eastAsia="方正小标宋简体" w:cs="方正小标宋简体"/>
          <w:b w:val="0"/>
          <w:bCs w:val="0"/>
          <w:w w:val="97"/>
          <w:sz w:val="44"/>
          <w:szCs w:val="44"/>
        </w:rPr>
        <w:t>年度法治政府建设工作情况的报告</w:t>
      </w:r>
    </w:p>
    <w:p>
      <w:pPr>
        <w:keepNext w:val="0"/>
        <w:keepLines w:val="0"/>
        <w:pageBreakBefore w:val="0"/>
        <w:kinsoku/>
        <w:wordWrap/>
        <w:overflowPunct/>
        <w:topLinePunct w:val="0"/>
        <w:autoSpaceDE/>
        <w:autoSpaceDN/>
        <w:bidi w:val="0"/>
        <w:spacing w:line="600" w:lineRule="exact"/>
        <w:jc w:val="center"/>
        <w:textAlignment w:val="auto"/>
        <w:rPr>
          <w:rFonts w:hint="eastAsia" w:asciiTheme="majorEastAsia" w:hAnsiTheme="majorEastAsia" w:eastAsiaTheme="majorEastAsia" w:cstheme="majorEastAsia"/>
          <w:b/>
          <w:bCs/>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ascii="Calibri" w:hAnsi="Calibri" w:cs="Calibri"/>
          <w:sz w:val="24"/>
          <w:szCs w:val="24"/>
        </w:rPr>
      </w:pPr>
      <w:r>
        <w:rPr>
          <w:rFonts w:ascii="仿宋_GB2312" w:hAnsi="Calibri" w:eastAsia="仿宋_GB2312" w:cs="仿宋_GB2312"/>
          <w:spacing w:val="0"/>
          <w:sz w:val="31"/>
          <w:szCs w:val="31"/>
          <w:bdr w:val="none" w:color="auto" w:sz="0" w:space="0"/>
        </w:rPr>
        <w:t>2023年，王封街道办事处在区委、区政府的正确领导下，坚持以习近平新时代中国特色社会主义思想为指导，全面深入学习贯彻习近平新时代中国特色社会主义思想和党的二十大精神，扎实推进法治政府建设，各项工作取得积极成效，为推动高质量发展和现代化建设提供了有力法治保障。现将2023年度法治政府建设工作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default" w:ascii="Calibri" w:hAnsi="Calibri" w:cs="Calibri"/>
          <w:sz w:val="24"/>
          <w:szCs w:val="24"/>
        </w:rPr>
      </w:pPr>
      <w:r>
        <w:rPr>
          <w:rFonts w:ascii="黑体" w:hAnsi="宋体" w:eastAsia="黑体" w:cs="黑体"/>
          <w:spacing w:val="0"/>
          <w:sz w:val="31"/>
          <w:szCs w:val="31"/>
          <w:bdr w:val="none" w:color="auto" w:sz="0" w:space="0"/>
        </w:rPr>
        <w:t>一、工作开展情况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default" w:ascii="Calibri" w:hAnsi="Calibri" w:cs="Calibri"/>
          <w:sz w:val="24"/>
          <w:szCs w:val="24"/>
        </w:rPr>
      </w:pPr>
      <w:r>
        <w:rPr>
          <w:rFonts w:ascii="楷体_GB2312" w:hAnsi="Calibri" w:eastAsia="楷体_GB2312" w:cs="楷体_GB2312"/>
          <w:spacing w:val="0"/>
          <w:sz w:val="31"/>
          <w:szCs w:val="31"/>
          <w:bdr w:val="none" w:color="auto" w:sz="0" w:space="0"/>
        </w:rPr>
        <w:t>（一）坚持党的全面领导，确保法治政府建设始终沿着正确方向推进。</w:t>
      </w:r>
      <w:r>
        <w:rPr>
          <w:rFonts w:hint="eastAsia" w:ascii="仿宋_GB2312" w:hAnsi="Calibri" w:eastAsia="仿宋_GB2312" w:cs="仿宋_GB2312"/>
          <w:spacing w:val="0"/>
          <w:sz w:val="31"/>
          <w:szCs w:val="31"/>
          <w:bdr w:val="none" w:color="auto" w:sz="0" w:space="0"/>
        </w:rPr>
        <w:t>一是高度重视法治建设工作，始终将法治政府建设摆在突出位置，党政主要负责同志积极履行推进法治建设第一责任人职责，并将相关工作纳入党工委会议、班子会议等日程，法治建设重要工作专题部署、重大问题专题研究、重点环节协商推进，统筹推进法治建设工作各项事务在街道落实落细，构建党工委统一领导、人大监督、政府实施、社区（科室）配合、全社会共同参与格局。同时多维度延伸党建引领下的“215”治理模式的功能和作用，辖区社区、楼院全面建成党群议事会45个，有效完善街道依法治理网络，通过深入扎实的法治建设和法治宣传教育工作，强化法律的调节、规范和保障功能作用，有效服务辖区经济平稳较快发展，民生改善和社会和谐稳定。</w:t>
      </w:r>
      <w:r>
        <w:rPr>
          <w:rStyle w:val="6"/>
          <w:rFonts w:hint="eastAsia" w:ascii="仿宋_GB2312" w:hAnsi="Calibri" w:eastAsia="仿宋_GB2312" w:cs="仿宋_GB2312"/>
          <w:spacing w:val="0"/>
          <w:sz w:val="31"/>
          <w:szCs w:val="31"/>
          <w:bdr w:val="none" w:color="auto" w:sz="0" w:space="0"/>
        </w:rPr>
        <w:t>二是加强理论学习</w:t>
      </w:r>
      <w:r>
        <w:rPr>
          <w:rFonts w:hint="eastAsia" w:ascii="仿宋_GB2312" w:hAnsi="Calibri" w:eastAsia="仿宋_GB2312" w:cs="仿宋_GB2312"/>
          <w:spacing w:val="0"/>
          <w:sz w:val="31"/>
          <w:szCs w:val="31"/>
          <w:bdr w:val="none" w:color="auto" w:sz="0" w:space="0"/>
        </w:rPr>
        <w:t>，扎实开展学习贯彻习近平新时代中国特色社会主义思想主题教育，将全面学习宣传贯彻党的二十大精神与习近平法治思想相结合，制定贯彻落实党的二十大精神、深入推进新时代全面依法治省的实施意见，举办法治思想专题培训班，用党的创新理论凝心铸魂，引领法治政府建设向纵深推进。针对13个党支部，921名党员分类分层指导，针对86名流动党员采取“电话访、微信联、邮箱发”，对289名体弱年老党员采取送学上门方式，不让一名党员缺“课”；针对青年干部，大力开展“人人讲坛”“导师带徒”“书香王封”等特色活动40余次，坚持以学促干，在工作中检验学习成效，街道、社区全体干部的工作作风和综合素养显著跃升。截至目前，累计讲党课26次，研讨交流32次，推送音频700余条，培训以及研学1000余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default" w:ascii="Calibri" w:hAnsi="Calibri" w:cs="Calibri"/>
          <w:sz w:val="24"/>
          <w:szCs w:val="24"/>
        </w:rPr>
      </w:pPr>
      <w:r>
        <w:rPr>
          <w:rFonts w:hint="eastAsia" w:ascii="楷体_GB2312" w:hAnsi="Calibri" w:eastAsia="楷体_GB2312" w:cs="楷体_GB2312"/>
          <w:spacing w:val="0"/>
          <w:sz w:val="31"/>
          <w:szCs w:val="31"/>
          <w:bdr w:val="none" w:color="auto" w:sz="0" w:space="0"/>
        </w:rPr>
        <w:t>（二）扎实推进依法行政，公信力执行力不断增强。</w:t>
      </w:r>
      <w:r>
        <w:rPr>
          <w:rFonts w:hint="eastAsia" w:ascii="仿宋_GB2312" w:hAnsi="Calibri" w:eastAsia="仿宋_GB2312" w:cs="仿宋_GB2312"/>
          <w:spacing w:val="0"/>
          <w:sz w:val="31"/>
          <w:szCs w:val="31"/>
          <w:bdr w:val="none" w:color="auto" w:sz="0" w:space="0"/>
        </w:rPr>
        <w:t>街道立足工作实际，将法治工作与各项中心工作衔接贯通，切实为王封高质量发展注入强劲动能。一是坚持决策部署依法。建立健全“三重一大”决策机制，坚决落实和完善集体议事决策制度。凡是重大事项决策、重要干部任免、重要项目安排大额资金的使用，全部经集体讨论才作出决定，并且在决策过程中主动接受监管指导，听取意见建议，实现民主决策、科学决策；保障权力规范运行，对重大决策部署和重大项目实施以及开展信访案件化解等工作，合法性把关，确保决策依法。今年以来，街道持续完善工作纪律、财务管理等10余项制度和清单，规范了26项便民服务工作流程，制定了5类清单。</w:t>
      </w:r>
      <w:r>
        <w:rPr>
          <w:rStyle w:val="6"/>
          <w:rFonts w:hint="eastAsia" w:ascii="仿宋_GB2312" w:hAnsi="Calibri" w:eastAsia="仿宋_GB2312" w:cs="仿宋_GB2312"/>
          <w:spacing w:val="0"/>
          <w:sz w:val="31"/>
          <w:szCs w:val="31"/>
          <w:bdr w:val="none" w:color="auto" w:sz="0" w:space="0"/>
        </w:rPr>
        <w:t>二是推进基层治理用法。</w:t>
      </w:r>
      <w:r>
        <w:rPr>
          <w:rFonts w:hint="eastAsia" w:ascii="仿宋_GB2312" w:hAnsi="Calibri" w:eastAsia="仿宋_GB2312" w:cs="仿宋_GB2312"/>
          <w:spacing w:val="0"/>
          <w:sz w:val="31"/>
          <w:szCs w:val="31"/>
          <w:bdr w:val="none" w:color="auto" w:sz="0" w:space="0"/>
        </w:rPr>
        <w:t>践行新时代“枫桥经验”，积极探索创新微网格治理单元，以连心地图、连心服务、连心议事“三个连心”为抓手的“微网格+协商议事”机制，全面排查梳理邻里纠纷、婚恋家庭矛盾纠纷等重点领域情况，运用好“随手调”及时化解各类矛盾纠纷，做到小事不出网格、大事不出社区、矛盾不上交，今年以来，共排查接访各类纠纷76起，化解76起，化解率100%。搭建“党群议事会”平台，精准对接群众需求，参与治理决策，解决社区停车难、建筑垃圾堆放、基础设施破损等问题120余件，帮助301户小区居民实现供暖，64户居民完成水网改造，解决420余户房屋漏水（渗水）老大难问题。进一步提高综合执法队伍建设，依法行政、严格执法，认真抓好环保督促整改、“双违”等各项工作，加强执法工作与网格化管理衔接，提高管理水平。全面落实“社区法律顾问”，依法打击违规违法行为，努力构建办事依法、遇事找法、解决问题用法、化解矛盾靠法的法治良序。</w:t>
      </w:r>
      <w:r>
        <w:rPr>
          <w:rStyle w:val="6"/>
          <w:rFonts w:hint="eastAsia" w:ascii="仿宋_GB2312" w:hAnsi="Calibri" w:eastAsia="仿宋_GB2312" w:cs="仿宋_GB2312"/>
          <w:spacing w:val="0"/>
          <w:sz w:val="31"/>
          <w:szCs w:val="31"/>
          <w:bdr w:val="none" w:color="auto" w:sz="0" w:space="0"/>
        </w:rPr>
        <w:t>三是深化便民服务管理。</w:t>
      </w:r>
      <w:r>
        <w:rPr>
          <w:rFonts w:hint="eastAsia" w:ascii="仿宋_GB2312" w:hAnsi="Calibri" w:eastAsia="仿宋_GB2312" w:cs="仿宋_GB2312"/>
          <w:spacing w:val="0"/>
          <w:sz w:val="31"/>
          <w:szCs w:val="31"/>
          <w:bdr w:val="none" w:color="auto" w:sz="0" w:space="0"/>
        </w:rPr>
        <w:t>运用社区公示栏、“一村一码”等线上线下载体，推动落实公示公开制度，实现对社区政策落实、重大事项、民生保障的有效监督。将“民呼必应”问题事项办理工作作为抓好主题教育，解决实际问题，为民办实事的重要举措，持续优化阵地“硬环境”、提升服务“软实力”，探索创新“台账清单、抽查回访、分析研判、督责追责”链条机制，完善便民服务中心首问负责制、服务承诺制、一次性告知制、限时办结制等制度，让政务服务既有“速度”、更有“温度”，不断增强群众的幸福感、获得感。今年共办理问题事项307件，除了涉访涉诉类以外，全部问题事项均实现100%满意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default" w:ascii="Calibri" w:hAnsi="Calibri" w:cs="Calibri"/>
          <w:sz w:val="24"/>
          <w:szCs w:val="24"/>
        </w:rPr>
      </w:pPr>
      <w:r>
        <w:rPr>
          <w:rFonts w:hint="eastAsia" w:ascii="楷体_GB2312" w:hAnsi="Calibri" w:eastAsia="楷体_GB2312" w:cs="楷体_GB2312"/>
          <w:spacing w:val="0"/>
          <w:sz w:val="31"/>
          <w:szCs w:val="31"/>
          <w:bdr w:val="none" w:color="auto" w:sz="0" w:space="0"/>
        </w:rPr>
        <w:t>（三）加强法律教育服务，人民群众获得感持续增强。</w:t>
      </w:r>
      <w:r>
        <w:rPr>
          <w:rFonts w:hint="eastAsia" w:ascii="仿宋_GB2312" w:hAnsi="Calibri" w:eastAsia="仿宋_GB2312" w:cs="仿宋_GB2312"/>
          <w:spacing w:val="0"/>
          <w:sz w:val="31"/>
          <w:szCs w:val="31"/>
          <w:bdr w:val="none" w:color="auto" w:sz="0" w:space="0"/>
        </w:rPr>
        <w:t>街道以“三零创建”“六防六促”等工作为抓手，全面聚焦法治思维建设，用活用好学习教育、普法宣传等有力手段，努力构建尊法守法、知法用法的浓厚氛围。</w:t>
      </w:r>
      <w:r>
        <w:rPr>
          <w:rStyle w:val="6"/>
          <w:rFonts w:hint="eastAsia" w:ascii="仿宋_GB2312" w:hAnsi="Calibri" w:eastAsia="仿宋_GB2312" w:cs="仿宋_GB2312"/>
          <w:spacing w:val="0"/>
          <w:sz w:val="31"/>
          <w:szCs w:val="31"/>
          <w:bdr w:val="none" w:color="auto" w:sz="0" w:space="0"/>
        </w:rPr>
        <w:t>一是深化法治思维。</w:t>
      </w:r>
      <w:r>
        <w:rPr>
          <w:rFonts w:hint="eastAsia" w:ascii="仿宋_GB2312" w:hAnsi="Calibri" w:eastAsia="仿宋_GB2312" w:cs="仿宋_GB2312"/>
          <w:spacing w:val="0"/>
          <w:sz w:val="31"/>
          <w:szCs w:val="31"/>
          <w:bdr w:val="none" w:color="auto" w:sz="0" w:space="0"/>
        </w:rPr>
        <w:t>将习近平法治思想、宪法、民法典等作为重点内容列入理论学习中心组计划，形成常态化学习机制，不断提高街道“关键少数”运用法治思维和法治方式深化改革、推动发展、化解矛盾、维护稳定、应对风险的能力。今年以来共召开理论学习中心组12次，书记讲党课4次，主题党日活动12次，始终将法治教育贯穿其中，在具体化、精准化、常态化上久久为功，持续发力。</w:t>
      </w:r>
      <w:r>
        <w:rPr>
          <w:rStyle w:val="6"/>
          <w:rFonts w:hint="eastAsia" w:ascii="仿宋_GB2312" w:hAnsi="Calibri" w:eastAsia="仿宋_GB2312" w:cs="仿宋_GB2312"/>
          <w:spacing w:val="0"/>
          <w:sz w:val="31"/>
          <w:szCs w:val="31"/>
          <w:bdr w:val="none" w:color="auto" w:sz="0" w:space="0"/>
        </w:rPr>
        <w:t>二是营造浓厚氛围。</w:t>
      </w:r>
      <w:r>
        <w:rPr>
          <w:rFonts w:hint="eastAsia" w:ascii="仿宋_GB2312" w:hAnsi="Calibri" w:eastAsia="仿宋_GB2312" w:cs="仿宋_GB2312"/>
          <w:spacing w:val="0"/>
          <w:sz w:val="31"/>
          <w:szCs w:val="31"/>
          <w:bdr w:val="none" w:color="auto" w:sz="0" w:space="0"/>
        </w:rPr>
        <w:t>多渠道推进全民普法宣传。紧扣平安建设、消防安全、防盗防骗等方面的法律法规和防范知识，通过微信群、“小喇叭”、LED液晶显示屏等新媒体方式以及悬挂横幅、张贴宣传标语、发放宣传单、走家入户宣传等传统方式相结合，有效拓展平安法治宣传教育覆盖面，引导广大群众积极参与平安创建，不断深化宣传效果。积极开展《中华人民共和国民法典》《中华人民共和国宪法》等法律法规普法宣传活动，引导群众依法理性表达诉求、依法维护权益、履行法定义务，积极营造遵法、守法、学法、用法的良好氛围。今年以来累计发放宣传单、张贴海报6000余张，宣传品3000余个，悬挂条幅20余条、宣传展板15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default" w:ascii="Calibri" w:hAnsi="Calibri" w:cs="Calibri"/>
          <w:sz w:val="24"/>
          <w:szCs w:val="24"/>
        </w:rPr>
      </w:pPr>
      <w:r>
        <w:rPr>
          <w:rFonts w:hint="eastAsia" w:ascii="黑体" w:hAnsi="宋体" w:eastAsia="黑体" w:cs="黑体"/>
          <w:spacing w:val="0"/>
          <w:sz w:val="31"/>
          <w:szCs w:val="31"/>
          <w:bdr w:val="none" w:color="auto" w:sz="0" w:space="0"/>
        </w:rPr>
        <w:t>二、下步工作打算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Calibri" w:hAnsi="Calibri" w:cs="Calibri"/>
          <w:sz w:val="24"/>
          <w:szCs w:val="24"/>
        </w:rPr>
      </w:pPr>
      <w:r>
        <w:rPr>
          <w:rFonts w:hint="eastAsia" w:ascii="仿宋_GB2312" w:hAnsi="Calibri" w:eastAsia="仿宋_GB2312" w:cs="仿宋_GB2312"/>
          <w:spacing w:val="0"/>
          <w:sz w:val="31"/>
          <w:szCs w:val="31"/>
          <w:bdr w:val="none" w:color="auto" w:sz="0" w:space="0"/>
        </w:rPr>
        <w:t>2024年是中华人民共和国成立75周年，是实现“十四五”规划目标任务的关键一年。我们将坚持以习近平新时代中国特色社会主义思想为指导，全面贯彻落实党的二十大精神，加强法治政府建设，为全面推动“三区四基地”建设向更高水平、更深层次迈进作出王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default" w:ascii="Calibri" w:hAnsi="Calibri" w:cs="Calibri"/>
          <w:sz w:val="24"/>
          <w:szCs w:val="24"/>
        </w:rPr>
      </w:pPr>
      <w:r>
        <w:rPr>
          <w:rFonts w:hint="eastAsia" w:ascii="楷体_GB2312" w:hAnsi="Calibri" w:eastAsia="楷体_GB2312" w:cs="楷体_GB2312"/>
          <w:spacing w:val="0"/>
          <w:sz w:val="31"/>
          <w:szCs w:val="31"/>
          <w:bdr w:val="none" w:color="auto" w:sz="0" w:space="0"/>
        </w:rPr>
        <w:t>（一）坚强组织领导，推进工作流程“法治化”。</w:t>
      </w:r>
      <w:r>
        <w:rPr>
          <w:rFonts w:hint="eastAsia" w:ascii="仿宋_GB2312" w:hAnsi="Calibri" w:eastAsia="仿宋_GB2312" w:cs="仿宋_GB2312"/>
          <w:spacing w:val="0"/>
          <w:sz w:val="31"/>
          <w:szCs w:val="31"/>
          <w:bdr w:val="none" w:color="auto" w:sz="0" w:space="0"/>
        </w:rPr>
        <w:t>进一步健全党建引领法治建设工作机制，持续探索法治建设助力解决经济服务、民生发展中痛点难点问题，深化协同治理实践，优化提升场景体验。同时强化重点领域监督，强化对行政权力的制约和监督，全面推进政务公开，推进廉洁廉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default" w:ascii="Calibri" w:hAnsi="Calibri" w:cs="Calibri"/>
          <w:sz w:val="24"/>
          <w:szCs w:val="24"/>
        </w:rPr>
      </w:pPr>
      <w:r>
        <w:rPr>
          <w:rFonts w:hint="eastAsia" w:ascii="楷体_GB2312" w:hAnsi="Calibri" w:eastAsia="楷体_GB2312" w:cs="楷体_GB2312"/>
          <w:spacing w:val="0"/>
          <w:sz w:val="31"/>
          <w:szCs w:val="31"/>
          <w:bdr w:val="none" w:color="auto" w:sz="0" w:space="0"/>
        </w:rPr>
        <w:t>（二）坚守为民初心，搭起化解矛盾“连心桥”。</w:t>
      </w:r>
      <w:r>
        <w:rPr>
          <w:rFonts w:hint="eastAsia" w:ascii="仿宋_GB2312" w:hAnsi="Calibri" w:eastAsia="仿宋_GB2312" w:cs="仿宋_GB2312"/>
          <w:spacing w:val="0"/>
          <w:sz w:val="31"/>
          <w:szCs w:val="31"/>
          <w:bdr w:val="none" w:color="auto" w:sz="0" w:space="0"/>
        </w:rPr>
        <w:t>聚焦信访积案化解攻坚，强化数字赋能，综合推进访源治理，提高信访办理质量，营造良好信访生态，提升群众满意率。加强协调联动，定期开展矛盾纠纷排查调处工作，加大矛盾纠纷预防、排查、调处工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default" w:ascii="Calibri" w:hAnsi="Calibri" w:cs="Calibri"/>
          <w:sz w:val="24"/>
          <w:szCs w:val="24"/>
        </w:rPr>
      </w:pPr>
      <w:r>
        <w:rPr>
          <w:rFonts w:hint="eastAsia" w:ascii="楷体_GB2312" w:hAnsi="Calibri" w:eastAsia="楷体_GB2312" w:cs="楷体_GB2312"/>
          <w:spacing w:val="0"/>
          <w:sz w:val="31"/>
          <w:szCs w:val="31"/>
          <w:bdr w:val="none" w:color="auto" w:sz="0" w:space="0"/>
        </w:rPr>
        <w:t>（三）坚持靶向施策，营造普法强基“好氛围”。</w:t>
      </w:r>
      <w:r>
        <w:rPr>
          <w:rFonts w:hint="eastAsia" w:ascii="仿宋_GB2312" w:hAnsi="Calibri" w:eastAsia="仿宋_GB2312" w:cs="仿宋_GB2312"/>
          <w:spacing w:val="0"/>
          <w:sz w:val="31"/>
          <w:szCs w:val="31"/>
          <w:bdr w:val="none" w:color="auto" w:sz="0" w:space="0"/>
        </w:rPr>
        <w:t>全方位推进普法工作，深入抓好机关干部学法用法，努力提高街道、社区、网格队伍法律素质和依法工作能力。同时加大对法治宣传经费投入，利用灵活多样的宣传形式，大力宣传法律知识、依法行政，让群众知法、学法、懂法、用法，营造良好法治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hint="default" w:ascii="Calibri" w:hAnsi="Calibri" w:cs="Calibri"/>
          <w:sz w:val="24"/>
          <w:szCs w:val="24"/>
        </w:rPr>
      </w:pPr>
      <w:r>
        <w:rPr>
          <w:rFonts w:hint="default" w:ascii="Calibri" w:hAnsi="Calibri" w:eastAsia="仿宋_GB2312" w:cs="Calibri"/>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hint="default" w:ascii="Calibri" w:hAnsi="Calibri" w:cs="Calibri"/>
          <w:sz w:val="24"/>
          <w:szCs w:val="24"/>
        </w:rPr>
      </w:pPr>
      <w:r>
        <w:rPr>
          <w:rFonts w:hint="eastAsia" w:ascii="仿宋_GB2312" w:hAnsi="Calibri" w:eastAsia="仿宋_GB2312" w:cs="仿宋_GB2312"/>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Calibri" w:hAnsi="Calibri" w:cs="Calibri"/>
          <w:sz w:val="24"/>
          <w:szCs w:val="24"/>
        </w:rPr>
      </w:pPr>
      <w:r>
        <w:rPr>
          <w:rFonts w:ascii="仿宋" w:hAnsi="仿宋" w:eastAsia="仿宋" w:cs="仿宋"/>
          <w:spacing w:val="0"/>
          <w:sz w:val="31"/>
          <w:szCs w:val="31"/>
          <w:bdr w:val="none" w:color="auto" w:sz="0" w:space="0"/>
        </w:rPr>
        <w:t>                                            </w:t>
      </w:r>
      <w:r>
        <w:rPr>
          <w:rFonts w:hint="default" w:ascii="Calibri" w:hAnsi="Calibri" w:eastAsia="仿宋_GB2312" w:cs="Calibri"/>
          <w:spacing w:val="0"/>
          <w:sz w:val="31"/>
          <w:szCs w:val="31"/>
          <w:bdr w:val="none" w:color="auto" w:sz="0" w:space="0"/>
        </w:rPr>
        <w:t> </w:t>
      </w:r>
      <w:r>
        <w:rPr>
          <w:rFonts w:hint="eastAsia" w:ascii="仿宋_GB2312" w:hAnsi="Calibri" w:eastAsia="仿宋_GB2312" w:cs="仿宋_GB2312"/>
          <w:spacing w:val="0"/>
          <w:sz w:val="31"/>
          <w:szCs w:val="31"/>
          <w:bdr w:val="none" w:color="auto" w:sz="0" w:space="0"/>
        </w:rPr>
        <w:t>王封街道办事处 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Calibri" w:hAnsi="Calibri" w:cs="Calibri"/>
          <w:sz w:val="24"/>
          <w:szCs w:val="24"/>
        </w:rPr>
      </w:pPr>
      <w:r>
        <w:rPr>
          <w:rFonts w:hint="default" w:ascii="Calibri" w:hAnsi="Calibri" w:eastAsia="仿宋_GB2312" w:cs="Calibri"/>
          <w:spacing w:val="0"/>
          <w:sz w:val="31"/>
          <w:szCs w:val="31"/>
          <w:bdr w:val="none" w:color="auto" w:sz="0" w:space="0"/>
        </w:rPr>
        <w:t>                                              </w:t>
      </w:r>
      <w:r>
        <w:rPr>
          <w:rFonts w:hint="eastAsia" w:ascii="仿宋_GB2312" w:hAnsi="Calibri" w:eastAsia="仿宋_GB2312" w:cs="仿宋_GB2312"/>
          <w:spacing w:val="0"/>
          <w:sz w:val="31"/>
          <w:szCs w:val="31"/>
          <w:bdr w:val="none" w:color="auto" w:sz="0" w:space="0"/>
        </w:rPr>
        <w:t>2024年3月26日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宋体" w:eastAsia="仿宋_GB2312" w:cs="Times New Roman"/>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Tc3YjMwM2E3NjRjYTEwOTcwMTIzYzA1YjEyNWUifQ=="/>
  </w:docVars>
  <w:rsids>
    <w:rsidRoot w:val="43AD31FD"/>
    <w:rsid w:val="0B2A449F"/>
    <w:rsid w:val="25B07772"/>
    <w:rsid w:val="43AD31FD"/>
    <w:rsid w:val="454A5C9E"/>
    <w:rsid w:val="4FF53DE3"/>
    <w:rsid w:val="6FCF37C8"/>
    <w:rsid w:val="74EE7C94"/>
    <w:rsid w:val="788265AF"/>
    <w:rsid w:val="A77F956E"/>
    <w:rsid w:val="E6EE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2024-03-27T08:40:00Z</dcterms:created>
  <dc:creator>是娇娇啊</dc:creator>
  <cp:lastModifiedBy>zfb001</cp:lastModifiedBy>
  <cp:lastPrinted>2024-03-29T16:38:00Z</cp:lastPrinted>
  <dcterms:modified xsi:type="dcterms:W3CDTF">2024-06-13T08:54:26Z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625D3212E6C3447780E4624B8E6BBF26_13</vt:lpwstr>
  </property>
</Properties>
</file>