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中站区人民政府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b w:val="0"/>
          <w:bCs w:val="0"/>
          <w:sz w:val="32"/>
          <w:szCs w:val="32"/>
          <w:highlight w:val="none"/>
          <w:lang w:eastAsia="zh-CN"/>
        </w:rPr>
      </w:pPr>
      <w:r>
        <w:rPr>
          <w:rFonts w:hint="eastAsia" w:ascii="方正小标宋简体" w:eastAsia="方正小标宋简体"/>
          <w:b w:val="0"/>
          <w:bCs w:val="0"/>
          <w:sz w:val="44"/>
          <w:szCs w:val="44"/>
          <w:highlight w:val="none"/>
          <w:lang w:eastAsia="zh-CN"/>
        </w:rPr>
        <w:t>关于</w:t>
      </w:r>
      <w:r>
        <w:rPr>
          <w:rFonts w:hint="eastAsia" w:ascii="方正小标宋简体" w:eastAsia="方正小标宋简体"/>
          <w:b w:val="0"/>
          <w:bCs w:val="0"/>
          <w:sz w:val="44"/>
          <w:szCs w:val="44"/>
          <w:highlight w:val="none"/>
          <w:lang w:val="en-US" w:eastAsia="zh-CN"/>
        </w:rPr>
        <w:t>2023年度</w:t>
      </w:r>
      <w:r>
        <w:rPr>
          <w:rFonts w:hint="eastAsia" w:ascii="方正小标宋简体" w:eastAsia="方正小标宋简体"/>
          <w:b w:val="0"/>
          <w:bCs w:val="0"/>
          <w:sz w:val="44"/>
          <w:szCs w:val="44"/>
          <w:highlight w:val="none"/>
          <w:lang w:eastAsia="zh-CN"/>
        </w:rPr>
        <w:t>法治政府建设</w:t>
      </w:r>
      <w:r>
        <w:rPr>
          <w:rFonts w:hint="eastAsia" w:ascii="方正小标宋简体" w:eastAsia="方正小标宋简体"/>
          <w:b w:val="0"/>
          <w:bCs w:val="0"/>
          <w:sz w:val="44"/>
          <w:szCs w:val="44"/>
          <w:highlight w:val="none"/>
        </w:rPr>
        <w:t>工作</w:t>
      </w:r>
      <w:r>
        <w:rPr>
          <w:rFonts w:hint="eastAsia" w:ascii="方正小标宋简体" w:eastAsia="方正小标宋简体"/>
          <w:b w:val="0"/>
          <w:bCs w:val="0"/>
          <w:sz w:val="44"/>
          <w:szCs w:val="44"/>
          <w:highlight w:val="none"/>
          <w:lang w:eastAsia="zh-CN"/>
        </w:rPr>
        <w:t>情况的报告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ascii="黑体" w:hAnsi="宋体" w:eastAsia="黑体" w:cs="黑体"/>
          <w:sz w:val="31"/>
          <w:szCs w:val="31"/>
          <w:bdr w:val="none" w:color="auto" w:sz="0" w:space="0"/>
        </w:rPr>
        <w:t>一、</w:t>
      </w:r>
      <w:r>
        <w:rPr>
          <w:rFonts w:hint="eastAsia" w:ascii="黑体" w:hAnsi="宋体" w:eastAsia="黑体" w:cs="黑体"/>
          <w:sz w:val="31"/>
          <w:szCs w:val="31"/>
          <w:bdr w:val="none" w:color="auto" w:sz="0" w:space="0"/>
        </w:rPr>
        <w:t>总体工作情况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ascii="楷体_GB2312" w:hAnsi="Times New Roman" w:eastAsia="楷体_GB2312" w:cs="楷体_GB2312"/>
          <w:sz w:val="31"/>
          <w:szCs w:val="31"/>
          <w:bdr w:val="none" w:color="auto" w:sz="0" w:space="0"/>
        </w:rPr>
        <w:t>（一）坚持履行第一责任人职责，扎实推进法治政府建设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ascii="仿宋_GB2312" w:hAnsi="Times New Roman" w:eastAsia="仿宋_GB2312" w:cs="仿宋_GB2312"/>
          <w:sz w:val="31"/>
          <w:szCs w:val="31"/>
          <w:bdr w:val="none" w:color="auto" w:sz="0" w:space="0"/>
        </w:rPr>
        <w:t>一是强化组织领导。区政府主要</w:t>
      </w:r>
      <w:r>
        <w:rPr>
          <w:rFonts w:hint="eastAsia" w:ascii="仿宋_GB2312" w:hAnsi="Times New Roman" w:eastAsia="仿宋_GB2312" w:cs="仿宋_GB2312"/>
          <w:sz w:val="31"/>
          <w:szCs w:val="31"/>
          <w:bdr w:val="none" w:color="auto" w:sz="0" w:space="0"/>
        </w:rPr>
        <w:t>负责同志带头深入学习贯彻习近平法治思想，严格履行法治建设第一责任人职责，及时研究解决有关重大问题。区政府常务会议专题研究法治政府建设工作2次。二是带头学法用法。严格落实区政府常务会议集中学法制度，先后组织开展集中学法4次，提升领导干部运用法治思维和法治方式推进工作的能力。三是强化督导考核。依托法治河南（法治政府）建设督导平台，对年度任务全方位部署推动、按节点加强督导，实现年初有部署、日常有督导、事后有评价、年终有考核的闭环落实体系。</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楷体_GB2312" w:hAnsi="Times New Roman" w:eastAsia="楷体_GB2312" w:cs="楷体_GB2312"/>
          <w:sz w:val="31"/>
          <w:szCs w:val="31"/>
          <w:bdr w:val="none" w:color="auto" w:sz="0" w:space="0"/>
        </w:rPr>
        <w:t>（二）坚持科学民主决策，完善行政决策程序体系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建立健全决策机制。研究制定《中站区人民政府“三重一大”事项集体决策制度实施办法（试行）》等文件，对于重大行政决策项目，依法履行公众参与、专家论证、风险评估、合法性审查和集体讨论相结合的法定程序，提高政府决策质量和水平。二是落实政府法律顾问制度。制定《中站区人民政府法律顾问管理制度》，组织法律顾问积极参与重大行政决策和涉法事务的研究，提供建设性的法律意见和建议。2023年政府法律顾问累计出具法律意见书32份。三是扎实做好规范性文件管理。制定印发《关于学习贯彻&lt;河南省行政合法性审查工作规定&gt;做好行政合法性审查工作的通知》（中区法政办〔2023〕9号），对规范性文件实行“审、登、备、纠”全流程管理。2023年共审查备案行政规范性文件7件，废止3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楷体_GB2312" w:hAnsi="Times New Roman" w:eastAsia="楷体_GB2312" w:cs="楷体_GB2312"/>
          <w:sz w:val="31"/>
          <w:szCs w:val="31"/>
          <w:bdr w:val="none" w:color="auto" w:sz="0" w:space="0"/>
        </w:rPr>
        <w:t>（三）依法践行政府职能，不断提升政务服务水平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深入推进“放管服效”改革。持续深化“简政放权”，全面推行“一窗受理”。扎实推进“双随机、一公开”工作，2023年完成抽查计划155项，完成跨部门联合检查事项69项。二是持续优化法治化营商环境。制定印发《中站区营商环境综合配套改革法治化专项方案》。全面落实证明事项告知承诺制，动态调整梳理承诺制清单共49项，累计办理告知承诺制证明事项1639件。三是优化涉企法律服务。发挥律师服务团作用，定期对重点民营企业开展法治体检工作，累计开展政策宣讲114次，风险分析24次，提出法律意见119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楷体_GB2312" w:hAnsi="Times New Roman" w:eastAsia="楷体_GB2312" w:cs="楷体_GB2312"/>
          <w:sz w:val="31"/>
          <w:szCs w:val="31"/>
          <w:bdr w:val="none" w:color="auto" w:sz="0" w:space="0"/>
        </w:rPr>
        <w:t>（四）促进公正文明执法，全面提升行政执法公信力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强化行政执法监督。在全区范围内开展行政执法突出问题专项整治和涉企行政执法突出问题专项监督工作，收集人民群众反映强烈的行政执法突出问题12个，督促各部门及时整改到位。二是深化综合行政执法体制改革。制定印发《中站区街道综合行政执法工作实施方案》，赋予街道办事处执法主体地位和综合行政执法权，依托各司法所设立街道行政执法协调监督办公室，确保放得下、接得住、管得好、有监督。三是持续深化服务型行政执法。组织150名执法人员参加全市服务型行政执法“大比武”理论测试。组织各行政执法部门建立免予处罚、从轻处罚、减轻处罚、不予实施行政强制事项“四张清单”共计361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楷体_GB2312" w:hAnsi="Times New Roman" w:eastAsia="楷体_GB2312" w:cs="楷体_GB2312"/>
          <w:sz w:val="31"/>
          <w:szCs w:val="31"/>
          <w:bdr w:val="none" w:color="auto" w:sz="0" w:space="0"/>
        </w:rPr>
        <w:t>（五）坚持法治思维导向，提升干部队伍法治素养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紧抓领导干部这个“关键少数”。组织街道办事处、区直部门主要负责人和分管法制工作负责人70余人参加2023年领导干部法律知识考试和依法行政能力测试，提升领导干部法治意识和法治能力。二是深化干部队伍法治教育。组织开展习近平法治思想和《中华人民共和国宪法》《中华人民共和国民法典》《中华人民共和国行政处罚法》等法律法规学习，举办法治政府建设专题讲座，增强干部运用法治思维和法治方式开展工作的能力。三是加强执法队伍管理。组织全区55名新申领执法证人员开展公共法律知识考试，完成行政执法证审核申领工作，并按程序对全区278名行政执法人员组织开展2023年度年审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楷体_GB2312" w:hAnsi="Times New Roman" w:eastAsia="楷体_GB2312" w:cs="楷体_GB2312"/>
          <w:sz w:val="31"/>
          <w:szCs w:val="31"/>
          <w:bdr w:val="none" w:color="auto" w:sz="0" w:space="0"/>
        </w:rPr>
        <w:t>（六）推进矛盾纠纷化解，不断促进社会和谐稳定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一是创新发展新时代“枫桥经验”。充分发挥“2+3+N”矛盾纠纷多元化解模式作用，扎实开展“法润‘三农’护航‘三夏’”“涉企矛盾纠纷大化解”等专项行动，最大限度化解社会矛盾。</w:t>
      </w:r>
      <w:r>
        <w:rPr>
          <w:rFonts w:hint="default" w:ascii="Times New Roman" w:hAnsi="Times New Roman" w:eastAsia="仿宋_GB2312" w:cs="Times New Roman"/>
          <w:sz w:val="31"/>
          <w:szCs w:val="31"/>
          <w:bdr w:val="none" w:color="auto" w:sz="0" w:space="0"/>
        </w:rPr>
        <w:t>2023</w:t>
      </w:r>
      <w:r>
        <w:rPr>
          <w:rFonts w:hint="eastAsia" w:ascii="仿宋_GB2312" w:hAnsi="Times New Roman" w:eastAsia="仿宋_GB2312" w:cs="仿宋_GB2312"/>
          <w:sz w:val="31"/>
          <w:szCs w:val="31"/>
          <w:bdr w:val="none" w:color="auto" w:sz="0" w:space="0"/>
        </w:rPr>
        <w:t>年以来，共排查化解各类矛盾纠纷656起。二是完善社会治理体系。坚持以“全科网格”推进精细化服务，组建“网格长</w:t>
      </w:r>
      <w:r>
        <w:rPr>
          <w:rFonts w:hint="default" w:ascii="Times New Roman" w:hAnsi="Times New Roman" w:eastAsia="仿宋_GB2312" w:cs="Times New Roman"/>
          <w:sz w:val="31"/>
          <w:szCs w:val="31"/>
          <w:bdr w:val="none" w:color="auto" w:sz="0" w:space="0"/>
        </w:rPr>
        <w:t>+</w:t>
      </w:r>
      <w:r>
        <w:rPr>
          <w:rFonts w:hint="eastAsia" w:ascii="仿宋_GB2312" w:hAnsi="Times New Roman" w:eastAsia="仿宋_GB2312" w:cs="仿宋_GB2312"/>
          <w:sz w:val="31"/>
          <w:szCs w:val="31"/>
          <w:bdr w:val="none" w:color="auto" w:sz="0" w:space="0"/>
        </w:rPr>
        <w:t>专职、兼职、专属网格员”队伍890余人，通过“多网合一”实现了网格全覆盖、服务零距离。三是持续开展“法援惠民生”活动。畅通农民工、军人军属等法律援助“绿色通道”，对行动不便的残疾人、老年人实行“上门服务”。2023年以来共接待来访群众1100余人次，受理各类法律援助案件171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黑体" w:hAnsi="宋体" w:eastAsia="黑体" w:cs="黑体"/>
          <w:sz w:val="31"/>
          <w:szCs w:val="31"/>
          <w:bdr w:val="none" w:color="auto" w:sz="0" w:space="0"/>
        </w:rPr>
        <w:t>二、存在问题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法治工作力量相对薄弱。各行政执法单位法制科室力量薄弱，与承担的职责任务不相适应。二是依法决策水平还需进一步提高。少数干部不能正确理解重大行政决策概念，法制审核制度落实不到位。三是法治文化阵地建设有待进一步加强。法治文化阵地建设覆盖面不广，投入不足，缺少有特色、有亮点的品牌法治文化阵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cs="Times New Roman"/>
          <w:sz w:val="21"/>
          <w:szCs w:val="21"/>
        </w:rPr>
      </w:pPr>
      <w:r>
        <w:rPr>
          <w:rFonts w:hint="eastAsia" w:ascii="黑体" w:hAnsi="宋体" w:eastAsia="黑体" w:cs="黑体"/>
          <w:sz w:val="31"/>
          <w:szCs w:val="31"/>
          <w:bdr w:val="none" w:color="auto" w:sz="0" w:space="0"/>
        </w:rPr>
        <w:t>三、下一步工作打算及建议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rPr>
        <w:t>一是创建省级法治政府建设示范区。围绕《焦作市创建法治政府建设示范市工作方案》确定的10项工作100项指标，制定中站区《创建指标体系责任分工表》，明确职责任务和时间进度，确保创建工作任务落到实处。二是加大法治队伍建设力度，拓宽培养和引进法治人才渠道，大力营造拴心留人的环境和干事创业的氛围。三是提高依法决策水平，严格履行重大行政决策、重大行政执法决定、行政协议合法性审查法定程序，扩大法律顾问和公职律师覆盖率，进一步提高政府决策质量和水平。四是加强行政执法监督，进一步完善行政执法权责清单，推进执法岗责体系建设，针对行政执法单位“三项制度”落实情况开展全方位监督，不断提高行政执法质效。五是推进法治文化阵地建设。依托中站区丰富的红色旅游资源，积极实施法治文化建设，谋划建设一批主题性强、覆盖面广、有地域特色的法治文化阵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center"/>
        <w:rPr>
          <w:rFonts w:hint="default" w:ascii="Times New Roman" w:hAnsi="Times New Roman" w:cs="Times New Roman"/>
          <w:sz w:val="21"/>
          <w:szCs w:val="21"/>
        </w:rPr>
      </w:pPr>
      <w:r>
        <w:rPr>
          <w:rFonts w:hint="eastAsia" w:ascii="仿宋_GB2312" w:hAnsi="Times New Roman" w:eastAsia="仿宋_GB2312" w:cs="仿宋_GB2312"/>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center"/>
        <w:rPr>
          <w:rFonts w:hint="default" w:ascii="Times New Roman" w:hAnsi="Times New Roman" w:cs="Times New Roman"/>
          <w:sz w:val="21"/>
          <w:szCs w:val="21"/>
        </w:rPr>
      </w:pPr>
      <w:r>
        <w:rPr>
          <w:rFonts w:hint="eastAsia" w:ascii="仿宋_GB2312" w:hAnsi="Times New Roman" w:eastAsia="仿宋_GB2312" w:cs="仿宋_GB2312"/>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default" w:ascii="Times New Roman" w:hAnsi="Times New Roman" w:cs="Times New Roman"/>
          <w:sz w:val="24"/>
          <w:szCs w:val="24"/>
        </w:rPr>
      </w:pPr>
      <w:r>
        <w:rPr>
          <w:rFonts w:hint="eastAsia" w:ascii="宋体" w:hAnsi="宋体" w:eastAsia="宋体" w:cs="宋体"/>
          <w:sz w:val="21"/>
          <w:szCs w:val="2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4"/>
          <w:szCs w:val="24"/>
        </w:rPr>
      </w:pPr>
      <w:r>
        <w:rPr>
          <w:rFonts w:hint="eastAsia" w:ascii="宋体" w:hAnsi="宋体" w:eastAsia="宋体" w:cs="宋体"/>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黑体" w:hAnsi="宋体" w:eastAsia="黑体" w:cs="黑体"/>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594" w:firstLineChars="179"/>
        <w:jc w:val="center"/>
        <w:textAlignment w:val="auto"/>
        <w:rPr>
          <w:rFonts w:hint="default" w:ascii="仿宋_GB2312" w:hAnsi="仿宋_GB2312" w:eastAsia="仿宋_GB2312" w:cs="仿宋_GB2312"/>
          <w:b w:val="0"/>
          <w:bCs w:val="0"/>
          <w:spacing w:val="6"/>
          <w:sz w:val="32"/>
          <w:szCs w:val="32"/>
          <w:u w:val="none"/>
          <w:lang w:val="en-US" w:eastAsia="zh-CN"/>
        </w:rPr>
      </w:pPr>
      <w:r>
        <w:rPr>
          <w:rFonts w:hint="eastAsia" w:ascii="仿宋_GB2312" w:hAnsi="仿宋_GB2312" w:eastAsia="仿宋_GB2312" w:cs="仿宋_GB2312"/>
          <w:b w:val="0"/>
          <w:bCs w:val="0"/>
          <w:spacing w:val="6"/>
          <w:sz w:val="32"/>
          <w:szCs w:val="32"/>
          <w:u w:val="none"/>
          <w:lang w:val="en-US" w:eastAsia="zh-CN"/>
        </w:rPr>
        <w:t xml:space="preserve">                  </w:t>
      </w:r>
    </w:p>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369B558E"/>
    <w:rsid w:val="1CFE45F5"/>
    <w:rsid w:val="337F1948"/>
    <w:rsid w:val="369B558E"/>
    <w:rsid w:val="535F0527"/>
    <w:rsid w:val="68127DB6"/>
    <w:rsid w:val="7BFEB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2"/>
    <w:basedOn w:val="4"/>
    <w:next w:val="2"/>
    <w:qFormat/>
    <w:uiPriority w:val="0"/>
    <w:pPr>
      <w:spacing w:after="0"/>
      <w:ind w:left="0" w:leftChars="0" w:firstLine="200" w:firstLineChars="200"/>
    </w:pPr>
    <w:rPr>
      <w:sz w:val="28"/>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2024-03-25T16:20:00Z</dcterms:created>
  <dc:creator>七安</dc:creator>
  <cp:lastModifiedBy>zfb001</cp:lastModifiedBy>
  <dcterms:modified xsi:type="dcterms:W3CDTF">2024-06-13T09:07:40Z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42416BE13C5A4D94BE20059E046F315A_11</vt:lpwstr>
  </property>
</Properties>
</file>