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olor w:val="000000"/>
          <w:sz w:val="52"/>
          <w:szCs w:val="52"/>
        </w:rPr>
      </w:pPr>
    </w:p>
    <w:p>
      <w:pPr>
        <w:jc w:val="center"/>
        <w:rPr>
          <w:rFonts w:hint="eastAsia" w:ascii="黑体" w:hAnsi="黑体" w:eastAsia="黑体"/>
          <w:color w:val="000000"/>
          <w:sz w:val="52"/>
          <w:szCs w:val="52"/>
        </w:rPr>
      </w:pPr>
    </w:p>
    <w:p>
      <w:pPr>
        <w:jc w:val="center"/>
        <w:rPr>
          <w:rFonts w:hint="eastAsia" w:ascii="黑体" w:hAnsi="黑体" w:eastAsia="黑体"/>
          <w:color w:val="000000"/>
          <w:sz w:val="52"/>
          <w:szCs w:val="52"/>
        </w:rPr>
      </w:pPr>
    </w:p>
    <w:p>
      <w:pPr>
        <w:jc w:val="center"/>
        <w:rPr>
          <w:rFonts w:hint="eastAsia" w:ascii="Times New Roman" w:hAnsi="Times New Roman" w:eastAsia="黑体"/>
          <w:color w:val="000000"/>
          <w:sz w:val="52"/>
          <w:szCs w:val="52"/>
        </w:rPr>
      </w:pPr>
      <w:r>
        <w:rPr>
          <w:rFonts w:hint="eastAsia" w:ascii="黑体" w:hAnsi="黑体" w:eastAsia="黑体"/>
          <w:color w:val="000000"/>
          <w:sz w:val="52"/>
          <w:szCs w:val="52"/>
          <w:lang w:val="en-US" w:eastAsia="zh-CN"/>
        </w:rPr>
        <w:t>焦作市中站区土地收购储备服务中心</w:t>
      </w:r>
      <w:r>
        <w:rPr>
          <w:rFonts w:hint="eastAsia" w:ascii="Times New Roman" w:hAnsi="Times New Roman" w:eastAsia="黑体"/>
          <w:color w:val="000000"/>
          <w:sz w:val="52"/>
          <w:szCs w:val="52"/>
        </w:rPr>
        <w:t>2023</w:t>
      </w:r>
      <w:r>
        <w:rPr>
          <w:rFonts w:hint="eastAsia" w:ascii="黑体" w:hAnsi="黑体" w:eastAsia="黑体"/>
          <w:color w:val="000000"/>
          <w:sz w:val="52"/>
          <w:szCs w:val="52"/>
        </w:rPr>
        <w:t>年度部门预算</w:t>
      </w:r>
    </w:p>
    <w:p>
      <w:pPr>
        <w:jc w:val="center"/>
        <w:rPr>
          <w:rFonts w:hint="eastAsia" w:ascii="Times New Roman" w:hAnsi="Times New Roman" w:eastAsia="黑体"/>
          <w:color w:val="000000"/>
          <w:sz w:val="52"/>
          <w:szCs w:val="52"/>
        </w:rPr>
      </w:pPr>
      <w:r>
        <w:rPr>
          <w:rFonts w:hint="eastAsia" w:ascii="Times New Roman" w:hAnsi="Times New Roman" w:eastAsia="黑体"/>
          <w:color w:val="000000"/>
          <w:sz w:val="52"/>
          <w:szCs w:val="52"/>
        </w:rPr>
        <w:t xml:space="preserve"> </w:t>
      </w:r>
    </w:p>
    <w:p>
      <w:pPr>
        <w:jc w:val="center"/>
        <w:rPr>
          <w:rFonts w:hint="eastAsia" w:ascii="Times New Roman" w:hAnsi="Times New Roman" w:eastAsia="黑体"/>
          <w:color w:val="000000"/>
          <w:sz w:val="52"/>
          <w:szCs w:val="52"/>
        </w:rPr>
      </w:pPr>
      <w:r>
        <w:rPr>
          <w:rFonts w:hint="eastAsia" w:ascii="Times New Roman" w:hAnsi="Times New Roman" w:eastAsia="黑体"/>
          <w:color w:val="000000"/>
          <w:sz w:val="52"/>
          <w:szCs w:val="52"/>
        </w:rPr>
        <w:t xml:space="preserve"> </w:t>
      </w:r>
    </w:p>
    <w:p>
      <w:pPr>
        <w:jc w:val="center"/>
        <w:rPr>
          <w:rFonts w:hint="eastAsia" w:ascii="Times New Roman" w:hAnsi="Times New Roman" w:eastAsia="黑体"/>
          <w:color w:val="000000"/>
          <w:sz w:val="52"/>
          <w:szCs w:val="52"/>
        </w:rPr>
      </w:pPr>
      <w:r>
        <w:rPr>
          <w:rFonts w:hint="eastAsia" w:ascii="Times New Roman" w:hAnsi="Times New Roman" w:eastAsia="黑体"/>
          <w:color w:val="000000"/>
          <w:sz w:val="52"/>
          <w:szCs w:val="52"/>
        </w:rPr>
        <w:t xml:space="preserve"> </w:t>
      </w:r>
    </w:p>
    <w:p>
      <w:pPr>
        <w:jc w:val="center"/>
        <w:rPr>
          <w:rFonts w:hint="eastAsia" w:ascii="Times New Roman" w:hAnsi="Times New Roman" w:eastAsia="黑体"/>
          <w:color w:val="000000"/>
          <w:sz w:val="52"/>
          <w:szCs w:val="52"/>
        </w:rPr>
      </w:pPr>
    </w:p>
    <w:p>
      <w:pPr>
        <w:jc w:val="center"/>
        <w:rPr>
          <w:rFonts w:hint="eastAsia" w:ascii="Times New Roman" w:hAnsi="Times New Roman" w:eastAsia="黑体"/>
          <w:color w:val="000000"/>
          <w:sz w:val="52"/>
          <w:szCs w:val="52"/>
        </w:rPr>
      </w:pPr>
    </w:p>
    <w:p>
      <w:pPr>
        <w:jc w:val="center"/>
        <w:rPr>
          <w:rFonts w:hint="eastAsia" w:ascii="Times New Roman" w:hAnsi="Times New Roman" w:eastAsia="黑体"/>
          <w:color w:val="000000"/>
          <w:sz w:val="52"/>
          <w:szCs w:val="52"/>
        </w:rPr>
      </w:pPr>
    </w:p>
    <w:p>
      <w:pPr>
        <w:jc w:val="center"/>
        <w:rPr>
          <w:rFonts w:hint="eastAsia" w:ascii="Times New Roman" w:hAnsi="Times New Roman" w:eastAsia="黑体"/>
          <w:color w:val="000000"/>
          <w:sz w:val="52"/>
          <w:szCs w:val="52"/>
        </w:rPr>
      </w:pPr>
      <w:r>
        <w:rPr>
          <w:rFonts w:hint="eastAsia" w:ascii="Times New Roman" w:hAnsi="Times New Roman" w:eastAsia="黑体"/>
          <w:color w:val="000000"/>
          <w:sz w:val="52"/>
          <w:szCs w:val="52"/>
        </w:rPr>
        <w:t xml:space="preserve"> </w:t>
      </w:r>
    </w:p>
    <w:p>
      <w:pPr>
        <w:jc w:val="center"/>
        <w:rPr>
          <w:rFonts w:hint="eastAsia" w:ascii="Times New Roman" w:hAnsi="Times New Roman" w:eastAsia="黑体"/>
          <w:color w:val="000000"/>
          <w:sz w:val="52"/>
          <w:szCs w:val="52"/>
        </w:rPr>
      </w:pPr>
      <w:r>
        <w:rPr>
          <w:rFonts w:hint="eastAsia" w:ascii="Times New Roman" w:hAnsi="Times New Roman" w:eastAsia="黑体"/>
          <w:color w:val="000000"/>
          <w:sz w:val="52"/>
          <w:szCs w:val="52"/>
        </w:rPr>
        <w:t xml:space="preserve"> </w:t>
      </w:r>
    </w:p>
    <w:p>
      <w:pPr>
        <w:jc w:val="center"/>
        <w:rPr>
          <w:rFonts w:hint="eastAsia" w:ascii="Times New Roman" w:hAnsi="Times New Roman" w:eastAsia="黑体"/>
          <w:color w:val="000000"/>
          <w:sz w:val="52"/>
          <w:szCs w:val="52"/>
        </w:rPr>
      </w:pPr>
      <w:r>
        <w:rPr>
          <w:rFonts w:hint="eastAsia" w:ascii="Times New Roman" w:hAnsi="Times New Roman" w:eastAsia="黑体"/>
          <w:color w:val="000000"/>
          <w:sz w:val="52"/>
          <w:szCs w:val="52"/>
        </w:rPr>
        <w:t xml:space="preserve"> </w:t>
      </w:r>
    </w:p>
    <w:p>
      <w:pPr>
        <w:jc w:val="center"/>
        <w:rPr>
          <w:rFonts w:hint="eastAsia" w:ascii="Times New Roman" w:hAnsi="Times New Roman" w:eastAsia="黑体"/>
          <w:color w:val="000000"/>
          <w:sz w:val="52"/>
          <w:szCs w:val="52"/>
        </w:rPr>
      </w:pPr>
      <w:r>
        <w:rPr>
          <w:rFonts w:hint="eastAsia" w:ascii="Times New Roman" w:hAnsi="Times New Roman" w:eastAsia="黑体"/>
          <w:color w:val="000000"/>
          <w:sz w:val="52"/>
          <w:szCs w:val="52"/>
        </w:rPr>
        <w:t xml:space="preserve"> </w:t>
      </w:r>
    </w:p>
    <w:p>
      <w:pPr>
        <w:adjustRightInd w:val="0"/>
        <w:snapToGrid w:val="0"/>
        <w:spacing w:line="360" w:lineRule="auto"/>
        <w:jc w:val="center"/>
        <w:rPr>
          <w:rFonts w:hint="eastAsia" w:ascii="Times New Roman" w:hAnsi="Times New Roman" w:eastAsia="黑体" w:cs="方正小标宋简体"/>
          <w:color w:val="000000"/>
          <w:sz w:val="44"/>
          <w:szCs w:val="44"/>
        </w:rPr>
      </w:pPr>
      <w:r>
        <w:rPr>
          <w:rFonts w:hint="eastAsia" w:ascii="黑体" w:hAnsi="黑体" w:eastAsia="黑体" w:cs="方正小标宋简体"/>
          <w:color w:val="000000"/>
          <w:sz w:val="32"/>
          <w:szCs w:val="32"/>
        </w:rPr>
        <w:t>二</w:t>
      </w:r>
      <w:r>
        <w:rPr>
          <w:rFonts w:hint="eastAsia" w:ascii="Times New Roman" w:hAnsi="Times New Roman" w:eastAsia="黑体" w:cs="方正小标宋简体"/>
          <w:color w:val="000000"/>
          <w:sz w:val="32"/>
          <w:szCs w:val="32"/>
        </w:rPr>
        <w:t>○二三年</w:t>
      </w:r>
      <w:r>
        <w:rPr>
          <w:rFonts w:hint="eastAsia" w:ascii="黑体" w:hAnsi="黑体" w:eastAsia="黑体" w:cs="方正小标宋简体"/>
          <w:color w:val="000000"/>
          <w:sz w:val="32"/>
          <w:szCs w:val="32"/>
        </w:rPr>
        <w:t>三月</w:t>
      </w:r>
    </w:p>
    <w:p>
      <w:pPr>
        <w:overflowPunct w:val="0"/>
        <w:adjustRightInd w:val="0"/>
        <w:snapToGrid w:val="0"/>
        <w:spacing w:line="550" w:lineRule="exact"/>
        <w:ind w:left="-142" w:right="51" w:firstLine="30" w:firstLineChars="7"/>
        <w:jc w:val="center"/>
        <w:rPr>
          <w:rFonts w:hint="eastAsia" w:ascii="仿宋" w:hAnsi="仿宋" w:eastAsia="仿宋" w:cs="仿宋"/>
          <w:color w:val="000000"/>
          <w:sz w:val="44"/>
          <w:szCs w:val="44"/>
        </w:rPr>
      </w:pPr>
      <w:r>
        <w:rPr>
          <w:rFonts w:ascii="Times New Roman" w:hAnsi="Times New Roman" w:cs="仿宋_GB2312"/>
          <w:color w:val="000000"/>
          <w:sz w:val="44"/>
          <w:szCs w:val="44"/>
        </w:rPr>
        <w:br w:type="page"/>
      </w:r>
      <w:r>
        <w:rPr>
          <w:rFonts w:hint="eastAsia" w:ascii="仿宋" w:hAnsi="仿宋" w:eastAsia="仿宋" w:cs="仿宋"/>
          <w:b/>
          <w:bCs/>
          <w:color w:val="000000"/>
          <w:sz w:val="44"/>
          <w:szCs w:val="44"/>
        </w:rPr>
        <w:t>目</w:t>
      </w:r>
      <w:r>
        <w:rPr>
          <w:rFonts w:hint="eastAsia" w:ascii="仿宋" w:hAnsi="仿宋" w:eastAsia="仿宋" w:cs="仿宋"/>
          <w:b/>
          <w:bCs/>
          <w:color w:val="000000"/>
          <w:sz w:val="44"/>
          <w:szCs w:val="44"/>
          <w:lang w:val="en-US" w:eastAsia="zh-CN"/>
        </w:rPr>
        <w:t xml:space="preserve"> </w:t>
      </w:r>
      <w:r>
        <w:rPr>
          <w:rFonts w:hint="eastAsia" w:ascii="仿宋" w:hAnsi="仿宋" w:eastAsia="仿宋" w:cs="仿宋"/>
          <w:b/>
          <w:bCs/>
          <w:color w:val="000000"/>
          <w:spacing w:val="2"/>
          <w:sz w:val="44"/>
          <w:szCs w:val="44"/>
        </w:rPr>
        <w:t xml:space="preserve"> </w:t>
      </w:r>
      <w:r>
        <w:rPr>
          <w:rFonts w:hint="eastAsia" w:ascii="仿宋" w:hAnsi="仿宋" w:eastAsia="仿宋" w:cs="仿宋"/>
          <w:b/>
          <w:bCs/>
          <w:color w:val="000000"/>
          <w:sz w:val="44"/>
          <w:szCs w:val="44"/>
        </w:rPr>
        <w:t>录</w:t>
      </w:r>
    </w:p>
    <w:p>
      <w:pPr>
        <w:overflowPunct w:val="0"/>
        <w:adjustRightInd w:val="0"/>
        <w:snapToGrid w:val="0"/>
        <w:spacing w:line="550" w:lineRule="exact"/>
        <w:ind w:right="3569" w:firstLine="643" w:firstLineChars="200"/>
        <w:rPr>
          <w:rFonts w:hint="eastAsia" w:ascii="仿宋" w:hAnsi="仿宋" w:eastAsia="仿宋" w:cs="仿宋"/>
          <w:b/>
          <w:bCs/>
          <w:color w:val="000000"/>
          <w:sz w:val="32"/>
          <w:szCs w:val="32"/>
        </w:rPr>
      </w:pPr>
    </w:p>
    <w:p>
      <w:pPr>
        <w:keepNext w:val="0"/>
        <w:keepLines w:val="0"/>
        <w:pageBreakBefore w:val="0"/>
        <w:widowControl w:val="0"/>
        <w:kinsoku/>
        <w:wordWrap/>
        <w:overflowPunct w:val="0"/>
        <w:topLinePunct w:val="0"/>
        <w:autoSpaceDE/>
        <w:autoSpaceDN/>
        <w:bidi w:val="0"/>
        <w:adjustRightInd w:val="0"/>
        <w:snapToGrid w:val="0"/>
        <w:spacing w:line="550" w:lineRule="exact"/>
        <w:ind w:right="3569" w:firstLine="643" w:firstLineChars="200"/>
        <w:textAlignment w:val="auto"/>
        <w:rPr>
          <w:rFonts w:hint="eastAsia" w:ascii="仿宋" w:hAnsi="仿宋" w:eastAsia="仿宋" w:cs="仿宋"/>
          <w:w w:val="99"/>
          <w:sz w:val="32"/>
          <w:szCs w:val="32"/>
        </w:rPr>
      </w:pPr>
      <w:r>
        <w:rPr>
          <w:rFonts w:hint="eastAsia" w:ascii="仿宋" w:hAnsi="仿宋" w:eastAsia="仿宋" w:cs="仿宋"/>
          <w:b/>
          <w:bCs/>
          <w:sz w:val="32"/>
          <w:szCs w:val="32"/>
        </w:rPr>
        <w:t>第一部分  概况</w:t>
      </w:r>
      <w:r>
        <w:rPr>
          <w:rFonts w:hint="eastAsia" w:ascii="仿宋" w:hAnsi="仿宋" w:eastAsia="仿宋" w:cs="仿宋"/>
          <w:w w:val="99"/>
          <w:sz w:val="32"/>
          <w:szCs w:val="32"/>
        </w:rPr>
        <w:t xml:space="preserve"> </w:t>
      </w:r>
    </w:p>
    <w:p>
      <w:pPr>
        <w:keepNext w:val="0"/>
        <w:keepLines w:val="0"/>
        <w:pageBreakBefore w:val="0"/>
        <w:widowControl w:val="0"/>
        <w:kinsoku/>
        <w:wordWrap/>
        <w:overflowPunct w:val="0"/>
        <w:topLinePunct w:val="0"/>
        <w:autoSpaceDE/>
        <w:autoSpaceDN/>
        <w:bidi w:val="0"/>
        <w:adjustRightInd w:val="0"/>
        <w:snapToGrid w:val="0"/>
        <w:spacing w:line="550" w:lineRule="exact"/>
        <w:ind w:right="3569" w:firstLine="960" w:firstLineChars="300"/>
        <w:jc w:val="left"/>
        <w:textAlignment w:val="auto"/>
        <w:rPr>
          <w:rFonts w:hint="eastAsia" w:ascii="仿宋" w:hAnsi="仿宋" w:eastAsia="仿宋" w:cs="仿宋"/>
          <w:sz w:val="32"/>
          <w:szCs w:val="32"/>
        </w:rPr>
      </w:pPr>
      <w:r>
        <w:rPr>
          <w:rFonts w:hint="eastAsia" w:ascii="仿宋" w:hAnsi="仿宋" w:eastAsia="仿宋" w:cs="仿宋"/>
          <w:sz w:val="32"/>
          <w:szCs w:val="32"/>
        </w:rPr>
        <w:t>一、主要职能</w:t>
      </w:r>
    </w:p>
    <w:p>
      <w:pPr>
        <w:keepNext w:val="0"/>
        <w:keepLines w:val="0"/>
        <w:pageBreakBefore w:val="0"/>
        <w:widowControl w:val="0"/>
        <w:kinsoku/>
        <w:wordWrap/>
        <w:overflowPunct w:val="0"/>
        <w:topLinePunct w:val="0"/>
        <w:autoSpaceDE/>
        <w:autoSpaceDN/>
        <w:bidi w:val="0"/>
        <w:adjustRightInd w:val="0"/>
        <w:snapToGrid w:val="0"/>
        <w:spacing w:line="550" w:lineRule="exact"/>
        <w:ind w:right="3569" w:firstLine="960" w:firstLineChars="300"/>
        <w:jc w:val="left"/>
        <w:textAlignment w:val="auto"/>
        <w:rPr>
          <w:rFonts w:hint="eastAsia" w:ascii="仿宋" w:hAnsi="仿宋" w:eastAsia="仿宋" w:cs="仿宋"/>
          <w:sz w:val="32"/>
          <w:szCs w:val="32"/>
        </w:rPr>
      </w:pPr>
      <w:r>
        <w:rPr>
          <w:rFonts w:hint="eastAsia" w:ascii="仿宋" w:hAnsi="仿宋" w:eastAsia="仿宋" w:cs="仿宋"/>
          <w:sz w:val="32"/>
          <w:szCs w:val="32"/>
        </w:rPr>
        <w:t>二、预算单位构成</w:t>
      </w:r>
    </w:p>
    <w:p>
      <w:pPr>
        <w:keepNext w:val="0"/>
        <w:keepLines w:val="0"/>
        <w:pageBreakBefore w:val="0"/>
        <w:widowControl w:val="0"/>
        <w:kinsoku/>
        <w:wordWrap/>
        <w:overflowPunct w:val="0"/>
        <w:topLinePunct w:val="0"/>
        <w:autoSpaceDE/>
        <w:autoSpaceDN/>
        <w:bidi w:val="0"/>
        <w:adjustRightInd w:val="0"/>
        <w:snapToGrid w:val="0"/>
        <w:spacing w:line="550" w:lineRule="exact"/>
        <w:ind w:right="521"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 xml:space="preserve">第二部分 </w:t>
      </w:r>
      <w:r>
        <w:rPr>
          <w:rFonts w:hint="eastAsia" w:ascii="仿宋" w:hAnsi="仿宋" w:eastAsia="仿宋" w:cs="仿宋"/>
          <w:b/>
          <w:bCs/>
          <w:sz w:val="32"/>
          <w:szCs w:val="32"/>
          <w:lang w:eastAsia="zh-CN"/>
        </w:rPr>
        <w:t>焦作市中站区土地收购储备服务中心</w:t>
      </w:r>
      <w:r>
        <w:rPr>
          <w:rFonts w:hint="eastAsia" w:ascii="仿宋" w:hAnsi="仿宋" w:eastAsia="仿宋" w:cs="仿宋"/>
          <w:b/>
          <w:bCs/>
          <w:sz w:val="32"/>
          <w:szCs w:val="32"/>
        </w:rPr>
        <w:t>202</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年</w:t>
      </w:r>
      <w:r>
        <w:rPr>
          <w:rFonts w:hint="eastAsia" w:ascii="仿宋" w:hAnsi="仿宋" w:eastAsia="仿宋" w:cs="仿宋"/>
          <w:b/>
          <w:bCs/>
          <w:sz w:val="32"/>
          <w:szCs w:val="32"/>
          <w:lang w:eastAsia="zh-CN"/>
        </w:rPr>
        <w:t>度</w:t>
      </w:r>
      <w:r>
        <w:rPr>
          <w:rFonts w:hint="eastAsia" w:ascii="仿宋" w:hAnsi="仿宋" w:eastAsia="仿宋" w:cs="仿宋"/>
          <w:b/>
          <w:bCs/>
          <w:sz w:val="32"/>
          <w:szCs w:val="32"/>
        </w:rPr>
        <w:t>预算情况说明</w:t>
      </w:r>
    </w:p>
    <w:p>
      <w:pPr>
        <w:keepNext w:val="0"/>
        <w:keepLines w:val="0"/>
        <w:pageBreakBefore w:val="0"/>
        <w:widowControl w:val="0"/>
        <w:kinsoku/>
        <w:wordWrap/>
        <w:overflowPunct w:val="0"/>
        <w:topLinePunct w:val="0"/>
        <w:autoSpaceDE/>
        <w:autoSpaceDN/>
        <w:bidi w:val="0"/>
        <w:adjustRightInd w:val="0"/>
        <w:snapToGrid w:val="0"/>
        <w:spacing w:line="550" w:lineRule="exact"/>
        <w:ind w:right="521"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第三部分 名词解释</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pacing w:val="-32"/>
          <w:sz w:val="32"/>
          <w:szCs w:val="32"/>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eastAsia="zh-CN"/>
        </w:rPr>
        <w:t>焦作市中站区土地收购储备服务中心</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年度预算表</w:t>
      </w:r>
    </w:p>
    <w:p>
      <w:pPr>
        <w:overflowPunct w:val="0"/>
        <w:adjustRightInd w:val="0"/>
        <w:snapToGrid w:val="0"/>
        <w:spacing w:line="550" w:lineRule="exact"/>
        <w:ind w:right="51" w:firstLine="960" w:firstLineChars="300"/>
        <w:jc w:val="left"/>
        <w:rPr>
          <w:rFonts w:hint="eastAsia" w:ascii="仿宋" w:hAnsi="仿宋" w:eastAsia="仿宋" w:cs="仿宋"/>
          <w:sz w:val="32"/>
          <w:szCs w:val="32"/>
        </w:rPr>
      </w:pPr>
      <w:r>
        <w:rPr>
          <w:rFonts w:hint="eastAsia" w:ascii="仿宋" w:hAnsi="仿宋" w:eastAsia="仿宋" w:cs="仿宋"/>
          <w:sz w:val="32"/>
          <w:szCs w:val="32"/>
        </w:rPr>
        <w:t>一、部门收支预算表</w:t>
      </w:r>
    </w:p>
    <w:p>
      <w:pPr>
        <w:overflowPunct w:val="0"/>
        <w:adjustRightInd w:val="0"/>
        <w:snapToGrid w:val="0"/>
        <w:spacing w:line="550" w:lineRule="exact"/>
        <w:ind w:right="51" w:firstLine="960" w:firstLineChars="300"/>
        <w:jc w:val="left"/>
        <w:rPr>
          <w:rFonts w:hint="eastAsia" w:ascii="仿宋" w:hAnsi="仿宋" w:eastAsia="仿宋" w:cs="仿宋"/>
          <w:sz w:val="32"/>
          <w:szCs w:val="32"/>
        </w:rPr>
      </w:pPr>
      <w:r>
        <w:rPr>
          <w:rFonts w:hint="eastAsia" w:ascii="仿宋" w:hAnsi="仿宋" w:eastAsia="仿宋" w:cs="仿宋"/>
          <w:sz w:val="32"/>
          <w:szCs w:val="32"/>
        </w:rPr>
        <w:t>二、部门收入预算表</w:t>
      </w:r>
    </w:p>
    <w:p>
      <w:pPr>
        <w:overflowPunct w:val="0"/>
        <w:adjustRightInd w:val="0"/>
        <w:snapToGrid w:val="0"/>
        <w:spacing w:line="550" w:lineRule="exact"/>
        <w:ind w:right="51" w:firstLine="960" w:firstLineChars="300"/>
        <w:jc w:val="left"/>
        <w:rPr>
          <w:rFonts w:hint="eastAsia" w:ascii="仿宋" w:hAnsi="仿宋" w:eastAsia="仿宋" w:cs="仿宋"/>
          <w:sz w:val="32"/>
          <w:szCs w:val="32"/>
        </w:rPr>
      </w:pPr>
      <w:r>
        <w:rPr>
          <w:rFonts w:hint="eastAsia" w:ascii="仿宋" w:hAnsi="仿宋" w:eastAsia="仿宋" w:cs="仿宋"/>
          <w:sz w:val="32"/>
          <w:szCs w:val="32"/>
        </w:rPr>
        <w:t>三、部门支出预算表</w:t>
      </w:r>
    </w:p>
    <w:p>
      <w:pPr>
        <w:overflowPunct w:val="0"/>
        <w:adjustRightInd w:val="0"/>
        <w:snapToGrid w:val="0"/>
        <w:spacing w:line="550" w:lineRule="exact"/>
        <w:ind w:right="51" w:firstLine="960" w:firstLineChars="300"/>
        <w:jc w:val="left"/>
        <w:rPr>
          <w:rFonts w:hint="eastAsia" w:ascii="仿宋" w:hAnsi="仿宋" w:eastAsia="仿宋" w:cs="仿宋"/>
          <w:sz w:val="32"/>
          <w:szCs w:val="32"/>
        </w:rPr>
      </w:pPr>
      <w:r>
        <w:rPr>
          <w:rFonts w:hint="eastAsia" w:ascii="仿宋" w:hAnsi="仿宋" w:eastAsia="仿宋" w:cs="仿宋"/>
          <w:sz w:val="32"/>
          <w:szCs w:val="32"/>
        </w:rPr>
        <w:t>四、财政拨款收支预算表</w:t>
      </w:r>
    </w:p>
    <w:p>
      <w:pPr>
        <w:overflowPunct w:val="0"/>
        <w:adjustRightInd w:val="0"/>
        <w:snapToGrid w:val="0"/>
        <w:spacing w:line="550" w:lineRule="exact"/>
        <w:ind w:right="51" w:firstLine="960" w:firstLineChars="300"/>
        <w:jc w:val="left"/>
        <w:rPr>
          <w:rFonts w:hint="eastAsia" w:ascii="仿宋" w:hAnsi="仿宋" w:eastAsia="仿宋" w:cs="仿宋"/>
          <w:sz w:val="32"/>
          <w:szCs w:val="32"/>
        </w:rPr>
      </w:pPr>
      <w:r>
        <w:rPr>
          <w:rFonts w:hint="eastAsia" w:ascii="仿宋" w:hAnsi="仿宋" w:eastAsia="仿宋" w:cs="仿宋"/>
          <w:sz w:val="32"/>
          <w:szCs w:val="32"/>
        </w:rPr>
        <w:t>五、一般公共预算支出预算表</w:t>
      </w:r>
    </w:p>
    <w:p>
      <w:pPr>
        <w:overflowPunct w:val="0"/>
        <w:adjustRightInd w:val="0"/>
        <w:snapToGrid w:val="0"/>
        <w:spacing w:line="550" w:lineRule="exact"/>
        <w:ind w:right="51" w:firstLine="960" w:firstLineChars="300"/>
        <w:jc w:val="left"/>
        <w:rPr>
          <w:rFonts w:hint="eastAsia" w:ascii="仿宋" w:hAnsi="仿宋" w:eastAsia="仿宋" w:cs="仿宋"/>
          <w:sz w:val="32"/>
          <w:szCs w:val="32"/>
        </w:rPr>
      </w:pPr>
      <w:r>
        <w:rPr>
          <w:rFonts w:hint="eastAsia" w:ascii="仿宋" w:hAnsi="仿宋" w:eastAsia="仿宋" w:cs="仿宋"/>
          <w:sz w:val="32"/>
          <w:szCs w:val="32"/>
        </w:rPr>
        <w:t>六、一般公共预算基本支出预算表</w:t>
      </w:r>
    </w:p>
    <w:p>
      <w:pPr>
        <w:overflowPunct w:val="0"/>
        <w:adjustRightInd w:val="0"/>
        <w:snapToGrid w:val="0"/>
        <w:spacing w:line="550" w:lineRule="exact"/>
        <w:ind w:right="51" w:firstLine="960" w:firstLineChars="300"/>
        <w:jc w:val="left"/>
        <w:rPr>
          <w:rFonts w:hint="eastAsia" w:ascii="仿宋" w:hAnsi="仿宋" w:eastAsia="仿宋" w:cs="仿宋"/>
          <w:sz w:val="32"/>
          <w:szCs w:val="32"/>
        </w:rPr>
      </w:pPr>
      <w:r>
        <w:rPr>
          <w:rFonts w:hint="eastAsia" w:ascii="仿宋" w:hAnsi="仿宋" w:eastAsia="仿宋" w:cs="仿宋"/>
          <w:sz w:val="32"/>
          <w:szCs w:val="32"/>
        </w:rPr>
        <w:t>七、一般公共预算基本支出明细表</w:t>
      </w:r>
    </w:p>
    <w:p>
      <w:pPr>
        <w:overflowPunct w:val="0"/>
        <w:adjustRightInd w:val="0"/>
        <w:snapToGrid w:val="0"/>
        <w:spacing w:line="550" w:lineRule="exact"/>
        <w:ind w:right="51" w:firstLine="960" w:firstLineChars="300"/>
        <w:jc w:val="left"/>
        <w:rPr>
          <w:rFonts w:hint="eastAsia" w:ascii="仿宋" w:hAnsi="仿宋" w:eastAsia="仿宋" w:cs="仿宋"/>
          <w:sz w:val="32"/>
          <w:szCs w:val="32"/>
        </w:rPr>
      </w:pPr>
      <w:r>
        <w:rPr>
          <w:rFonts w:hint="eastAsia" w:ascii="仿宋" w:hAnsi="仿宋" w:eastAsia="仿宋" w:cs="仿宋"/>
          <w:sz w:val="32"/>
          <w:szCs w:val="32"/>
        </w:rPr>
        <w:t>八、支出经济分类汇总表</w:t>
      </w:r>
    </w:p>
    <w:p>
      <w:pPr>
        <w:overflowPunct w:val="0"/>
        <w:adjustRightInd w:val="0"/>
        <w:snapToGrid w:val="0"/>
        <w:spacing w:line="550" w:lineRule="exact"/>
        <w:ind w:right="51" w:firstLine="960" w:firstLineChars="300"/>
        <w:jc w:val="left"/>
        <w:rPr>
          <w:rFonts w:hint="eastAsia" w:ascii="仿宋" w:hAnsi="仿宋" w:eastAsia="仿宋" w:cs="仿宋"/>
          <w:sz w:val="32"/>
          <w:szCs w:val="32"/>
        </w:rPr>
      </w:pPr>
      <w:r>
        <w:rPr>
          <w:rFonts w:hint="eastAsia" w:ascii="仿宋" w:hAnsi="仿宋" w:eastAsia="仿宋" w:cs="仿宋"/>
          <w:sz w:val="32"/>
          <w:szCs w:val="32"/>
        </w:rPr>
        <w:t>九、一般公共预算“三公”经费预算表</w:t>
      </w:r>
    </w:p>
    <w:p>
      <w:pPr>
        <w:overflowPunct w:val="0"/>
        <w:adjustRightInd w:val="0"/>
        <w:snapToGrid w:val="0"/>
        <w:spacing w:line="550" w:lineRule="exact"/>
        <w:ind w:right="51" w:firstLine="960" w:firstLineChars="300"/>
        <w:jc w:val="left"/>
        <w:rPr>
          <w:rFonts w:hint="eastAsia" w:ascii="仿宋" w:hAnsi="仿宋" w:eastAsia="仿宋" w:cs="仿宋"/>
          <w:sz w:val="32"/>
          <w:szCs w:val="32"/>
        </w:rPr>
      </w:pPr>
      <w:r>
        <w:rPr>
          <w:rFonts w:hint="eastAsia" w:ascii="仿宋" w:hAnsi="仿宋" w:eastAsia="仿宋" w:cs="仿宋"/>
          <w:sz w:val="32"/>
          <w:szCs w:val="32"/>
        </w:rPr>
        <w:t>十、政府性基金支出预算表</w:t>
      </w:r>
    </w:p>
    <w:p>
      <w:pPr>
        <w:overflowPunct w:val="0"/>
        <w:adjustRightInd w:val="0"/>
        <w:snapToGrid w:val="0"/>
        <w:spacing w:line="550" w:lineRule="exact"/>
        <w:ind w:right="51" w:firstLine="960" w:firstLineChars="300"/>
        <w:jc w:val="left"/>
        <w:rPr>
          <w:rFonts w:hint="eastAsia" w:ascii="仿宋" w:hAnsi="仿宋" w:eastAsia="仿宋" w:cs="仿宋"/>
          <w:sz w:val="32"/>
          <w:szCs w:val="32"/>
        </w:rPr>
      </w:pPr>
      <w:r>
        <w:rPr>
          <w:rFonts w:hint="eastAsia" w:ascii="仿宋" w:hAnsi="仿宋" w:eastAsia="仿宋" w:cs="仿宋"/>
          <w:sz w:val="32"/>
          <w:szCs w:val="32"/>
        </w:rPr>
        <w:t>十一、国有资本经营支出预算表</w:t>
      </w:r>
    </w:p>
    <w:p>
      <w:pPr>
        <w:overflowPunct w:val="0"/>
        <w:adjustRightInd w:val="0"/>
        <w:snapToGrid w:val="0"/>
        <w:spacing w:line="550" w:lineRule="exact"/>
        <w:ind w:right="51" w:firstLine="960" w:firstLineChars="300"/>
        <w:jc w:val="left"/>
        <w:rPr>
          <w:rFonts w:hint="eastAsia" w:ascii="仿宋" w:hAnsi="仿宋" w:eastAsia="仿宋" w:cs="仿宋"/>
          <w:sz w:val="32"/>
          <w:szCs w:val="32"/>
        </w:rPr>
      </w:pPr>
      <w:r>
        <w:rPr>
          <w:rFonts w:hint="eastAsia" w:ascii="仿宋" w:hAnsi="仿宋" w:eastAsia="仿宋" w:cs="仿宋"/>
          <w:sz w:val="32"/>
          <w:szCs w:val="32"/>
        </w:rPr>
        <w:t>十二、项目支出预算表</w:t>
      </w:r>
    </w:p>
    <w:p>
      <w:pPr>
        <w:overflowPunct w:val="0"/>
        <w:adjustRightInd w:val="0"/>
        <w:snapToGrid w:val="0"/>
        <w:spacing w:line="550" w:lineRule="exact"/>
        <w:ind w:right="51" w:firstLine="960" w:firstLineChars="300"/>
        <w:jc w:val="left"/>
        <w:rPr>
          <w:rFonts w:hint="eastAsia" w:ascii="仿宋" w:hAnsi="仿宋" w:eastAsia="仿宋" w:cs="仿宋"/>
          <w:sz w:val="32"/>
          <w:szCs w:val="32"/>
        </w:rPr>
      </w:pPr>
      <w:r>
        <w:rPr>
          <w:rFonts w:hint="eastAsia" w:ascii="仿宋" w:hAnsi="仿宋" w:eastAsia="仿宋" w:cs="仿宋"/>
          <w:sz w:val="32"/>
          <w:szCs w:val="32"/>
        </w:rPr>
        <w:t>十三、</w:t>
      </w:r>
      <w:r>
        <w:rPr>
          <w:rFonts w:hint="eastAsia" w:ascii="仿宋" w:hAnsi="仿宋" w:eastAsia="仿宋" w:cs="仿宋"/>
          <w:sz w:val="32"/>
          <w:szCs w:val="32"/>
          <w:lang w:eastAsia="zh-CN"/>
        </w:rPr>
        <w:t>机关（</w:t>
      </w:r>
      <w:r>
        <w:rPr>
          <w:rFonts w:hint="eastAsia" w:ascii="仿宋" w:hAnsi="仿宋" w:eastAsia="仿宋" w:cs="仿宋"/>
          <w:sz w:val="32"/>
          <w:szCs w:val="32"/>
        </w:rPr>
        <w:t>机构</w:t>
      </w:r>
      <w:r>
        <w:rPr>
          <w:rFonts w:hint="eastAsia" w:ascii="仿宋" w:hAnsi="仿宋" w:eastAsia="仿宋" w:cs="仿宋"/>
          <w:sz w:val="32"/>
          <w:szCs w:val="32"/>
          <w:lang w:eastAsia="zh-CN"/>
        </w:rPr>
        <w:t>）</w:t>
      </w:r>
      <w:r>
        <w:rPr>
          <w:rFonts w:hint="eastAsia" w:ascii="仿宋" w:hAnsi="仿宋" w:eastAsia="仿宋" w:cs="仿宋"/>
          <w:sz w:val="32"/>
          <w:szCs w:val="32"/>
        </w:rPr>
        <w:t>运行经费</w:t>
      </w:r>
    </w:p>
    <w:p>
      <w:pPr>
        <w:overflowPunct w:val="0"/>
        <w:adjustRightInd w:val="0"/>
        <w:snapToGrid w:val="0"/>
        <w:spacing w:line="550" w:lineRule="exact"/>
        <w:ind w:right="51" w:firstLine="960" w:firstLineChars="300"/>
        <w:jc w:val="left"/>
        <w:rPr>
          <w:rFonts w:hint="eastAsia" w:ascii="仿宋" w:hAnsi="仿宋" w:eastAsia="仿宋" w:cs="仿宋"/>
          <w:sz w:val="32"/>
          <w:szCs w:val="32"/>
        </w:rPr>
      </w:pPr>
      <w:r>
        <w:rPr>
          <w:rFonts w:hint="eastAsia" w:ascii="仿宋" w:hAnsi="仿宋" w:eastAsia="仿宋" w:cs="仿宋"/>
          <w:sz w:val="32"/>
          <w:szCs w:val="32"/>
        </w:rPr>
        <w:t>十四、本级部门整体绩效目标表</w:t>
      </w:r>
    </w:p>
    <w:p>
      <w:pPr>
        <w:overflowPunct w:val="0"/>
        <w:adjustRightInd w:val="0"/>
        <w:snapToGrid w:val="0"/>
        <w:spacing w:line="550" w:lineRule="exact"/>
        <w:ind w:firstLine="940" w:firstLineChars="294"/>
        <w:rPr>
          <w:rFonts w:hint="eastAsia" w:ascii="仿宋" w:hAnsi="仿宋" w:eastAsia="仿宋" w:cs="仿宋"/>
          <w:sz w:val="32"/>
          <w:szCs w:val="32"/>
        </w:rPr>
      </w:pPr>
      <w:r>
        <w:rPr>
          <w:rFonts w:hint="eastAsia" w:ascii="仿宋" w:hAnsi="仿宋" w:eastAsia="仿宋" w:cs="仿宋"/>
          <w:sz w:val="32"/>
          <w:szCs w:val="32"/>
        </w:rPr>
        <w:t>十五、本级部门预算项目绩效目标表</w:t>
      </w:r>
    </w:p>
    <w:p>
      <w:pPr>
        <w:keepNext w:val="0"/>
        <w:keepLines w:val="0"/>
        <w:pageBreakBefore w:val="0"/>
        <w:widowControl w:val="0"/>
        <w:kinsoku/>
        <w:wordWrap/>
        <w:overflowPunct w:val="0"/>
        <w:topLinePunct w:val="0"/>
        <w:autoSpaceDE/>
        <w:autoSpaceDN/>
        <w:bidi w:val="0"/>
        <w:adjustRightInd w:val="0"/>
        <w:snapToGrid w:val="0"/>
        <w:spacing w:line="550" w:lineRule="exact"/>
        <w:ind w:firstLine="0" w:firstLineChars="0"/>
        <w:jc w:val="center"/>
        <w:textAlignment w:val="auto"/>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val="0"/>
        <w:kinsoku/>
        <w:wordWrap/>
        <w:overflowPunct w:val="0"/>
        <w:topLinePunct w:val="0"/>
        <w:autoSpaceDE/>
        <w:autoSpaceDN/>
        <w:bidi w:val="0"/>
        <w:adjustRightInd w:val="0"/>
        <w:snapToGrid w:val="0"/>
        <w:spacing w:line="580" w:lineRule="exact"/>
        <w:ind w:firstLine="0" w:firstLineChars="0"/>
        <w:jc w:val="center"/>
        <w:textAlignment w:val="auto"/>
        <w:rPr>
          <w:rFonts w:hint="eastAsia" w:ascii="仿宋" w:hAnsi="仿宋" w:eastAsia="仿宋" w:cs="仿宋"/>
          <w:b/>
          <w:bCs/>
          <w:color w:val="000000"/>
          <w:sz w:val="36"/>
          <w:szCs w:val="36"/>
        </w:rPr>
      </w:pPr>
      <w:r>
        <w:rPr>
          <w:rFonts w:hint="eastAsia" w:ascii="仿宋" w:hAnsi="仿宋" w:eastAsia="仿宋" w:cs="仿宋"/>
          <w:b/>
          <w:bCs/>
          <w:color w:val="000000"/>
          <w:sz w:val="36"/>
          <w:szCs w:val="36"/>
        </w:rPr>
        <w:t>第一部分</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jc w:val="center"/>
        <w:textAlignment w:val="auto"/>
        <w:rPr>
          <w:rFonts w:hint="eastAsia" w:ascii="仿宋" w:hAnsi="仿宋" w:eastAsia="仿宋" w:cs="仿宋"/>
          <w:b/>
          <w:bCs/>
          <w:color w:val="000000"/>
          <w:sz w:val="36"/>
          <w:szCs w:val="36"/>
        </w:rPr>
      </w:pPr>
      <w:r>
        <w:rPr>
          <w:rFonts w:hint="eastAsia" w:ascii="仿宋" w:hAnsi="仿宋" w:eastAsia="仿宋" w:cs="仿宋"/>
          <w:b/>
          <w:bCs/>
          <w:color w:val="000000"/>
          <w:sz w:val="36"/>
          <w:szCs w:val="36"/>
          <w:lang w:eastAsia="zh-CN"/>
        </w:rPr>
        <w:t>焦作市中站区土地收购储备服务中心</w:t>
      </w:r>
      <w:r>
        <w:rPr>
          <w:rFonts w:hint="eastAsia" w:ascii="仿宋" w:hAnsi="仿宋" w:eastAsia="仿宋" w:cs="仿宋"/>
          <w:b/>
          <w:bCs/>
          <w:color w:val="000000"/>
          <w:sz w:val="36"/>
          <w:szCs w:val="36"/>
        </w:rPr>
        <w:t>概况</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3" w:firstLineChars="200"/>
        <w:jc w:val="center"/>
        <w:textAlignment w:val="auto"/>
        <w:rPr>
          <w:rFonts w:hint="eastAsia" w:ascii="仿宋" w:hAnsi="仿宋" w:eastAsia="仿宋" w:cs="仿宋"/>
          <w:b/>
          <w:bCs/>
          <w:color w:val="000000"/>
          <w:sz w:val="32"/>
          <w:szCs w:val="32"/>
        </w:rPr>
      </w:pPr>
    </w:p>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580" w:lineRule="exact"/>
        <w:ind w:left="0" w:leftChars="0" w:right="0" w:firstLine="643" w:firstLineChars="200"/>
        <w:textAlignment w:val="auto"/>
        <w:outlineLvl w:val="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主要职能</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（一）机构设置情况</w:t>
      </w:r>
    </w:p>
    <w:p>
      <w:pPr>
        <w:keepNext w:val="0"/>
        <w:keepLines w:val="0"/>
        <w:pageBreakBefore w:val="0"/>
        <w:widowControl w:val="0"/>
        <w:kinsoku w:val="0"/>
        <w:wordWrap/>
        <w:overflowPunct w:val="0"/>
        <w:topLinePunct w:val="0"/>
        <w:bidi w:val="0"/>
        <w:adjustRightInd w:val="0"/>
        <w:snapToGrid w:val="0"/>
        <w:spacing w:line="580" w:lineRule="exact"/>
        <w:ind w:right="-44"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焦作市中站区土地收购储备服务中心属事业全供性质，隶属中站区人民政府直属，机构规格相当于股级，下设办公室。核定人员编制5名，2022年底实有人数6人。</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（二）部门职责</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1、负责制定辖区范围内的土地储备计划服务工作并上报纳入市土地储备服务中心计划。</w:t>
      </w:r>
    </w:p>
    <w:p>
      <w:pPr>
        <w:pStyle w:val="2"/>
        <w:keepNext w:val="0"/>
        <w:keepLines w:val="0"/>
        <w:pageBreakBefore w:val="0"/>
        <w:widowControl w:val="0"/>
        <w:wordWrap/>
        <w:topLinePunct w:val="0"/>
        <w:bidi w:val="0"/>
        <w:spacing w:line="580" w:lineRule="exac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2、负责辖区范围内，对农村集体土地的征收，城市存量建设用地的回收、收购、置换等储备服务工作。</w:t>
      </w:r>
    </w:p>
    <w:p>
      <w:pPr>
        <w:pStyle w:val="2"/>
        <w:keepNext w:val="0"/>
        <w:keepLines w:val="0"/>
        <w:pageBreakBefore w:val="0"/>
        <w:widowControl w:val="0"/>
        <w:wordWrap/>
        <w:topLinePunct w:val="0"/>
        <w:bidi w:val="0"/>
        <w:spacing w:line="580" w:lineRule="exac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3、负责落实开展拟储备土地的选址、报批等前期工作。</w:t>
      </w:r>
    </w:p>
    <w:p>
      <w:pPr>
        <w:pStyle w:val="2"/>
        <w:keepNext w:val="0"/>
        <w:keepLines w:val="0"/>
        <w:pageBreakBefore w:val="0"/>
        <w:widowControl w:val="0"/>
        <w:wordWrap/>
        <w:topLinePunct w:val="0"/>
        <w:bidi w:val="0"/>
        <w:spacing w:line="580" w:lineRule="exac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4、负责储备土地前期开发等土地供应基础工作。</w:t>
      </w:r>
    </w:p>
    <w:p>
      <w:pPr>
        <w:pStyle w:val="2"/>
        <w:keepNext w:val="0"/>
        <w:keepLines w:val="0"/>
        <w:pageBreakBefore w:val="0"/>
        <w:widowControl w:val="0"/>
        <w:wordWrap/>
        <w:topLinePunct w:val="0"/>
        <w:bidi w:val="0"/>
        <w:spacing w:line="580" w:lineRule="exac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5、负责筹措和管理土地储备所需的资金；负责土地出让后净收益分成等资金的核算、催款及监管等工作。</w:t>
      </w:r>
    </w:p>
    <w:p>
      <w:pPr>
        <w:pStyle w:val="2"/>
        <w:keepNext w:val="0"/>
        <w:keepLines w:val="0"/>
        <w:pageBreakBefore w:val="0"/>
        <w:widowControl w:val="0"/>
        <w:wordWrap/>
        <w:topLinePunct w:val="0"/>
        <w:bidi w:val="0"/>
        <w:spacing w:line="580" w:lineRule="exac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6、建立土地收购储备信息系统，做好收集和发布土地收购储备、出让等服务信息；做好土地收购储备的综合统计工作，提供项目建设用地等服务。</w:t>
      </w:r>
    </w:p>
    <w:p>
      <w:pPr>
        <w:pStyle w:val="2"/>
        <w:keepNext w:val="0"/>
        <w:keepLines w:val="0"/>
        <w:pageBreakBefore w:val="0"/>
        <w:widowControl w:val="0"/>
        <w:wordWrap/>
        <w:topLinePunct w:val="0"/>
        <w:bidi w:val="0"/>
        <w:spacing w:line="580" w:lineRule="exac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7、承办区委区政府交办的其他事项。</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3" w:firstLineChars="200"/>
        <w:jc w:val="both"/>
        <w:textAlignment w:val="auto"/>
        <w:outlineLvl w:val="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二、预算单位构成</w:t>
      </w:r>
    </w:p>
    <w:p>
      <w:pPr>
        <w:pStyle w:val="2"/>
        <w:keepNext w:val="0"/>
        <w:keepLines w:val="0"/>
        <w:pageBreakBefore w:val="0"/>
        <w:widowControl w:val="0"/>
        <w:wordWrap/>
        <w:topLinePunct w:val="0"/>
        <w:bidi w:val="0"/>
        <w:spacing w:line="580" w:lineRule="exact"/>
        <w:textAlignment w:val="auto"/>
        <w:rPr>
          <w:rFonts w:hint="eastAsia" w:ascii="仿宋" w:hAnsi="仿宋" w:eastAsia="仿宋" w:cs="仿宋"/>
          <w:lang w:val="en-US" w:eastAsia="zh-CN"/>
        </w:rPr>
      </w:pPr>
      <w:r>
        <w:rPr>
          <w:rFonts w:hint="eastAsia" w:ascii="仿宋" w:hAnsi="仿宋" w:eastAsia="仿宋" w:cs="仿宋"/>
          <w:color w:val="000000"/>
          <w:sz w:val="32"/>
          <w:szCs w:val="32"/>
          <w:lang w:eastAsia="zh-CN"/>
        </w:rPr>
        <w:t>本预算为包括本级预算和所属单位预算在内的汇总预算，预算单位构成：</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焦作市中站区土地收购储备服务中心本级。</w:t>
      </w:r>
    </w:p>
    <w:p>
      <w:pPr>
        <w:keepNext w:val="0"/>
        <w:keepLines w:val="0"/>
        <w:pageBreakBefore w:val="0"/>
        <w:widowControl w:val="0"/>
        <w:shd w:val="clear" w:color="auto" w:fill="FFFFFF"/>
        <w:kinsoku/>
        <w:wordWrap/>
        <w:overflowPunct w:val="0"/>
        <w:topLinePunct w:val="0"/>
        <w:autoSpaceDE w:val="0"/>
        <w:autoSpaceDN w:val="0"/>
        <w:bidi w:val="0"/>
        <w:adjustRightInd w:val="0"/>
        <w:snapToGrid w:val="0"/>
        <w:spacing w:line="574" w:lineRule="exact"/>
        <w:ind w:left="0" w:leftChars="0" w:right="0"/>
        <w:jc w:val="center"/>
        <w:textAlignment w:val="auto"/>
        <w:rPr>
          <w:rFonts w:hint="eastAsia" w:ascii="仿宋" w:hAnsi="仿宋" w:eastAsia="仿宋" w:cs="仿宋"/>
          <w:b/>
          <w:bCs/>
          <w:color w:val="000000"/>
          <w:sz w:val="36"/>
          <w:szCs w:val="36"/>
        </w:rPr>
      </w:pPr>
      <w:r>
        <w:rPr>
          <w:rFonts w:hint="eastAsia" w:ascii="仿宋" w:hAnsi="仿宋" w:eastAsia="仿宋" w:cs="仿宋"/>
          <w:b/>
          <w:bCs/>
          <w:color w:val="000000"/>
          <w:sz w:val="36"/>
          <w:szCs w:val="36"/>
        </w:rPr>
        <w:t>第二部分</w:t>
      </w:r>
    </w:p>
    <w:p>
      <w:pPr>
        <w:keepNext w:val="0"/>
        <w:keepLines w:val="0"/>
        <w:pageBreakBefore w:val="0"/>
        <w:widowControl w:val="0"/>
        <w:shd w:val="clear" w:color="auto" w:fill="FFFFFF"/>
        <w:kinsoku/>
        <w:wordWrap/>
        <w:overflowPunct w:val="0"/>
        <w:topLinePunct w:val="0"/>
        <w:autoSpaceDE w:val="0"/>
        <w:autoSpaceDN w:val="0"/>
        <w:bidi w:val="0"/>
        <w:adjustRightInd w:val="0"/>
        <w:snapToGrid w:val="0"/>
        <w:spacing w:line="574" w:lineRule="exact"/>
        <w:ind w:left="0" w:leftChars="0" w:right="0"/>
        <w:jc w:val="center"/>
        <w:textAlignment w:val="auto"/>
        <w:rPr>
          <w:rFonts w:hint="eastAsia" w:ascii="仿宋" w:hAnsi="仿宋" w:eastAsia="仿宋" w:cs="仿宋"/>
          <w:b/>
          <w:bCs/>
          <w:color w:val="000000"/>
          <w:sz w:val="36"/>
          <w:szCs w:val="36"/>
          <w:lang w:eastAsia="zh-CN"/>
        </w:rPr>
      </w:pPr>
      <w:r>
        <w:rPr>
          <w:rFonts w:hint="eastAsia" w:ascii="仿宋" w:hAnsi="仿宋" w:eastAsia="仿宋" w:cs="仿宋"/>
          <w:b/>
          <w:bCs/>
          <w:color w:val="000000"/>
          <w:sz w:val="36"/>
          <w:szCs w:val="36"/>
          <w:lang w:eastAsia="zh-CN"/>
        </w:rPr>
        <w:t>焦作市中站区土地收购储备服务中心</w:t>
      </w:r>
    </w:p>
    <w:p>
      <w:pPr>
        <w:keepNext w:val="0"/>
        <w:keepLines w:val="0"/>
        <w:pageBreakBefore w:val="0"/>
        <w:widowControl w:val="0"/>
        <w:shd w:val="clear" w:color="auto" w:fill="FFFFFF"/>
        <w:kinsoku/>
        <w:wordWrap/>
        <w:overflowPunct w:val="0"/>
        <w:topLinePunct w:val="0"/>
        <w:autoSpaceDE w:val="0"/>
        <w:autoSpaceDN w:val="0"/>
        <w:bidi w:val="0"/>
        <w:adjustRightInd w:val="0"/>
        <w:snapToGrid w:val="0"/>
        <w:spacing w:line="574" w:lineRule="exact"/>
        <w:ind w:left="0" w:leftChars="0" w:right="0"/>
        <w:jc w:val="center"/>
        <w:textAlignment w:val="auto"/>
        <w:rPr>
          <w:rFonts w:hint="eastAsia" w:ascii="仿宋" w:hAnsi="仿宋" w:eastAsia="仿宋" w:cs="仿宋"/>
          <w:b/>
          <w:bCs/>
          <w:color w:val="000000"/>
          <w:sz w:val="36"/>
          <w:szCs w:val="36"/>
        </w:rPr>
      </w:pPr>
      <w:r>
        <w:rPr>
          <w:rFonts w:hint="eastAsia" w:ascii="仿宋" w:hAnsi="仿宋" w:eastAsia="仿宋" w:cs="仿宋"/>
          <w:b/>
          <w:bCs/>
          <w:color w:val="000000"/>
          <w:sz w:val="36"/>
          <w:szCs w:val="36"/>
        </w:rPr>
        <w:t>202</w:t>
      </w:r>
      <w:r>
        <w:rPr>
          <w:rFonts w:hint="eastAsia" w:ascii="仿宋" w:hAnsi="仿宋" w:eastAsia="仿宋" w:cs="仿宋"/>
          <w:b/>
          <w:bCs/>
          <w:color w:val="000000"/>
          <w:sz w:val="36"/>
          <w:szCs w:val="36"/>
          <w:lang w:val="en-US" w:eastAsia="zh-CN"/>
        </w:rPr>
        <w:t>3</w:t>
      </w:r>
      <w:r>
        <w:rPr>
          <w:rFonts w:hint="eastAsia" w:ascii="仿宋" w:hAnsi="仿宋" w:eastAsia="仿宋" w:cs="仿宋"/>
          <w:b/>
          <w:bCs/>
          <w:color w:val="000000"/>
          <w:sz w:val="36"/>
          <w:szCs w:val="36"/>
        </w:rPr>
        <w:t>年度部门预算情况说明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仿宋" w:hAnsi="仿宋" w:eastAsia="仿宋" w:cs="仿宋"/>
          <w:color w:val="000000"/>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3" w:firstLineChars="200"/>
        <w:textAlignment w:val="auto"/>
        <w:outlineLvl w:val="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一、收入支出预算总体情况说明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焦作市中站区土地收购储备服务中心</w:t>
      </w: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年收入总计</w:t>
      </w:r>
      <w:r>
        <w:rPr>
          <w:rFonts w:hint="eastAsia" w:ascii="仿宋" w:hAnsi="仿宋" w:eastAsia="仿宋" w:cs="仿宋"/>
          <w:color w:val="000000"/>
          <w:sz w:val="32"/>
          <w:szCs w:val="32"/>
          <w:lang w:val="en-US" w:eastAsia="zh-CN"/>
        </w:rPr>
        <w:t>76.10</w:t>
      </w:r>
      <w:r>
        <w:rPr>
          <w:rFonts w:hint="eastAsia" w:ascii="仿宋" w:hAnsi="仿宋" w:eastAsia="仿宋" w:cs="仿宋"/>
          <w:color w:val="000000"/>
          <w:sz w:val="32"/>
          <w:szCs w:val="32"/>
        </w:rPr>
        <w:t>万元，支出总计</w:t>
      </w:r>
      <w:r>
        <w:rPr>
          <w:rFonts w:hint="eastAsia" w:ascii="仿宋" w:hAnsi="仿宋" w:eastAsia="仿宋" w:cs="仿宋"/>
          <w:color w:val="000000"/>
          <w:sz w:val="32"/>
          <w:szCs w:val="32"/>
          <w:lang w:val="en-US" w:eastAsia="zh-CN"/>
        </w:rPr>
        <w:t>76.10</w:t>
      </w:r>
      <w:r>
        <w:rPr>
          <w:rFonts w:hint="eastAsia" w:ascii="仿宋" w:hAnsi="仿宋" w:eastAsia="仿宋" w:cs="仿宋"/>
          <w:color w:val="000000"/>
          <w:sz w:val="32"/>
          <w:szCs w:val="32"/>
        </w:rPr>
        <w:t>万元，与202</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年相比，收、支总计各增加</w:t>
      </w:r>
      <w:r>
        <w:rPr>
          <w:rFonts w:hint="eastAsia" w:ascii="仿宋" w:hAnsi="仿宋" w:eastAsia="仿宋" w:cs="仿宋"/>
          <w:color w:val="000000"/>
          <w:sz w:val="32"/>
          <w:szCs w:val="32"/>
          <w:lang w:val="en-US" w:eastAsia="zh-CN"/>
        </w:rPr>
        <w:t>26.62</w:t>
      </w:r>
      <w:r>
        <w:rPr>
          <w:rFonts w:hint="eastAsia" w:ascii="仿宋" w:hAnsi="仿宋" w:eastAsia="仿宋" w:cs="仿宋"/>
          <w:color w:val="000000"/>
          <w:sz w:val="32"/>
          <w:szCs w:val="32"/>
        </w:rPr>
        <w:t>万元，增长</w:t>
      </w:r>
      <w:r>
        <w:rPr>
          <w:rFonts w:hint="eastAsia" w:ascii="仿宋" w:hAnsi="仿宋" w:eastAsia="仿宋" w:cs="仿宋"/>
          <w:color w:val="000000"/>
          <w:sz w:val="32"/>
          <w:szCs w:val="32"/>
          <w:lang w:val="en-US" w:eastAsia="zh-CN"/>
        </w:rPr>
        <w:t>53.80</w:t>
      </w:r>
      <w:r>
        <w:rPr>
          <w:rFonts w:hint="eastAsia" w:ascii="仿宋" w:hAnsi="仿宋" w:eastAsia="仿宋" w:cs="仿宋"/>
          <w:color w:val="000000"/>
          <w:sz w:val="32"/>
          <w:szCs w:val="32"/>
        </w:rPr>
        <w:t>%。主要原因：</w:t>
      </w:r>
      <w:r>
        <w:rPr>
          <w:rFonts w:hint="eastAsia" w:ascii="仿宋" w:hAnsi="仿宋" w:eastAsia="仿宋" w:cs="仿宋"/>
          <w:color w:val="000000"/>
          <w:sz w:val="32"/>
          <w:szCs w:val="32"/>
          <w:lang w:val="en-US" w:eastAsia="zh-CN"/>
        </w:rPr>
        <w:t>2022年7月</w:t>
      </w:r>
      <w:r>
        <w:rPr>
          <w:rFonts w:hint="eastAsia" w:ascii="仿宋" w:hAnsi="仿宋" w:eastAsia="仿宋" w:cs="仿宋"/>
          <w:color w:val="000000"/>
          <w:sz w:val="32"/>
          <w:szCs w:val="32"/>
          <w:lang w:eastAsia="zh-CN"/>
        </w:rPr>
        <w:t>人才引进</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人，增加人员经费及公用经费。</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3" w:firstLineChars="200"/>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二、收入预算总体情况说明</w:t>
      </w:r>
    </w:p>
    <w:p>
      <w:pPr>
        <w:keepNext w:val="0"/>
        <w:keepLines w:val="0"/>
        <w:pageBreakBefore w:val="0"/>
        <w:widowControl w:val="0"/>
        <w:shd w:val="clear" w:color="auto" w:fill="FFFFFF"/>
        <w:kinsoku/>
        <w:wordWrap/>
        <w:overflowPunct w:val="0"/>
        <w:topLinePunct w:val="0"/>
        <w:autoSpaceDE w:val="0"/>
        <w:autoSpaceDN w:val="0"/>
        <w:bidi w:val="0"/>
        <w:adjustRightInd w:val="0"/>
        <w:snapToGrid w:val="0"/>
        <w:spacing w:line="574" w:lineRule="exact"/>
        <w:ind w:left="0" w:leftChars="0" w:right="0" w:firstLine="64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焦作市中站区土地收购储备服务中心</w:t>
      </w: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年收入合计</w:t>
      </w:r>
      <w:r>
        <w:rPr>
          <w:rFonts w:hint="eastAsia" w:ascii="仿宋" w:hAnsi="仿宋" w:eastAsia="仿宋" w:cs="仿宋"/>
          <w:color w:val="000000"/>
          <w:sz w:val="32"/>
          <w:szCs w:val="32"/>
          <w:lang w:val="en-US" w:eastAsia="zh-CN"/>
        </w:rPr>
        <w:t>76.10</w:t>
      </w:r>
      <w:r>
        <w:rPr>
          <w:rFonts w:hint="eastAsia" w:ascii="仿宋" w:hAnsi="仿宋" w:eastAsia="仿宋" w:cs="仿宋"/>
          <w:color w:val="000000"/>
          <w:sz w:val="32"/>
          <w:szCs w:val="32"/>
        </w:rPr>
        <w:t>万元，其中：一般公共预算收入</w:t>
      </w:r>
      <w:r>
        <w:rPr>
          <w:rFonts w:hint="eastAsia" w:ascii="仿宋" w:hAnsi="仿宋" w:eastAsia="仿宋" w:cs="仿宋"/>
          <w:color w:val="000000"/>
          <w:sz w:val="32"/>
          <w:szCs w:val="32"/>
          <w:lang w:val="en-US" w:eastAsia="zh-CN"/>
        </w:rPr>
        <w:t>76.10</w:t>
      </w:r>
      <w:r>
        <w:rPr>
          <w:rFonts w:hint="eastAsia" w:ascii="仿宋" w:hAnsi="仿宋" w:eastAsia="仿宋" w:cs="仿宋"/>
          <w:color w:val="000000"/>
          <w:sz w:val="32"/>
          <w:szCs w:val="32"/>
        </w:rPr>
        <w:t>万元; 政府性基金预算收入</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万元；国有资本经营预算收</w:t>
      </w:r>
      <w:r>
        <w:rPr>
          <w:rFonts w:hint="eastAsia" w:ascii="仿宋" w:hAnsi="仿宋" w:eastAsia="仿宋" w:cs="仿宋"/>
          <w:color w:val="000000"/>
          <w:spacing w:val="6"/>
          <w:sz w:val="32"/>
          <w:szCs w:val="32"/>
        </w:rPr>
        <w:t>入</w:t>
      </w:r>
      <w:r>
        <w:rPr>
          <w:rFonts w:hint="eastAsia" w:ascii="仿宋" w:hAnsi="仿宋" w:eastAsia="仿宋" w:cs="仿宋"/>
          <w:color w:val="000000"/>
          <w:spacing w:val="6"/>
          <w:sz w:val="32"/>
          <w:szCs w:val="32"/>
          <w:lang w:val="en-US" w:eastAsia="zh-CN"/>
        </w:rPr>
        <w:t>0</w:t>
      </w:r>
      <w:r>
        <w:rPr>
          <w:rFonts w:hint="eastAsia" w:ascii="仿宋" w:hAnsi="仿宋" w:eastAsia="仿宋" w:cs="仿宋"/>
          <w:color w:val="000000"/>
          <w:spacing w:val="6"/>
          <w:sz w:val="32"/>
          <w:szCs w:val="32"/>
        </w:rPr>
        <w:t>万元；财政专户管理资金收入</w:t>
      </w:r>
      <w:r>
        <w:rPr>
          <w:rFonts w:hint="eastAsia" w:ascii="仿宋" w:hAnsi="仿宋" w:eastAsia="仿宋" w:cs="仿宋"/>
          <w:color w:val="000000"/>
          <w:spacing w:val="6"/>
          <w:sz w:val="32"/>
          <w:szCs w:val="32"/>
          <w:lang w:val="en-US" w:eastAsia="zh-CN"/>
        </w:rPr>
        <w:t>0</w:t>
      </w:r>
      <w:r>
        <w:rPr>
          <w:rFonts w:hint="eastAsia" w:ascii="仿宋" w:hAnsi="仿宋" w:eastAsia="仿宋" w:cs="仿宋"/>
          <w:color w:val="000000"/>
          <w:spacing w:val="6"/>
          <w:sz w:val="32"/>
          <w:szCs w:val="32"/>
        </w:rPr>
        <w:t>万元；其他收入</w:t>
      </w:r>
      <w:r>
        <w:rPr>
          <w:rFonts w:hint="eastAsia" w:ascii="仿宋" w:hAnsi="仿宋" w:eastAsia="仿宋" w:cs="仿宋"/>
          <w:color w:val="000000"/>
          <w:spacing w:val="6"/>
          <w:kern w:val="0"/>
          <w:sz w:val="32"/>
          <w:szCs w:val="32"/>
          <w:lang w:val="en-US" w:eastAsia="zh-CN"/>
        </w:rPr>
        <w:t>0</w:t>
      </w:r>
      <w:r>
        <w:rPr>
          <w:rFonts w:hint="eastAsia" w:ascii="仿宋" w:hAnsi="仿宋" w:eastAsia="仿宋" w:cs="仿宋"/>
          <w:color w:val="000000"/>
          <w:spacing w:val="6"/>
          <w:kern w:val="0"/>
          <w:sz w:val="32"/>
          <w:szCs w:val="32"/>
        </w:rPr>
        <w:t>万元</w:t>
      </w:r>
      <w:r>
        <w:rPr>
          <w:rFonts w:hint="eastAsia" w:ascii="仿宋" w:hAnsi="仿宋" w:eastAsia="仿宋" w:cs="仿宋"/>
          <w:color w:val="000000"/>
          <w:sz w:val="32"/>
          <w:szCs w:val="32"/>
        </w:rPr>
        <w:t xml:space="preserve">。 </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3" w:firstLineChars="200"/>
        <w:textAlignment w:val="auto"/>
        <w:outlineLvl w:val="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三、支出预算总体情况说明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焦作市中站区土地收购储备服务中心</w:t>
      </w: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年支出合计</w:t>
      </w:r>
      <w:r>
        <w:rPr>
          <w:rFonts w:hint="eastAsia" w:ascii="仿宋" w:hAnsi="仿宋" w:eastAsia="仿宋" w:cs="仿宋"/>
          <w:color w:val="000000"/>
          <w:sz w:val="32"/>
          <w:szCs w:val="32"/>
          <w:lang w:val="en-US" w:eastAsia="zh-CN"/>
        </w:rPr>
        <w:t>76.10</w:t>
      </w:r>
      <w:r>
        <w:rPr>
          <w:rFonts w:hint="eastAsia" w:ascii="仿宋" w:hAnsi="仿宋" w:eastAsia="仿宋" w:cs="仿宋"/>
          <w:color w:val="000000"/>
          <w:sz w:val="32"/>
          <w:szCs w:val="32"/>
        </w:rPr>
        <w:t>万元，其中：基本支出</w:t>
      </w:r>
      <w:r>
        <w:rPr>
          <w:rFonts w:hint="eastAsia" w:ascii="仿宋" w:hAnsi="仿宋" w:eastAsia="仿宋" w:cs="仿宋"/>
          <w:color w:val="000000"/>
          <w:sz w:val="32"/>
          <w:szCs w:val="32"/>
          <w:lang w:val="en-US" w:eastAsia="zh-CN"/>
        </w:rPr>
        <w:t>66.10</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86.86</w:t>
      </w:r>
      <w:r>
        <w:rPr>
          <w:rFonts w:hint="eastAsia" w:ascii="仿宋" w:hAnsi="仿宋" w:eastAsia="仿宋" w:cs="仿宋"/>
          <w:color w:val="000000"/>
          <w:sz w:val="32"/>
          <w:szCs w:val="32"/>
        </w:rPr>
        <w:t>%；项目支出</w:t>
      </w:r>
      <w:r>
        <w:rPr>
          <w:rFonts w:hint="eastAsia" w:ascii="仿宋" w:hAnsi="仿宋" w:eastAsia="仿宋" w:cs="仿宋"/>
          <w:color w:val="000000"/>
          <w:sz w:val="32"/>
          <w:szCs w:val="32"/>
          <w:lang w:val="en-US" w:eastAsia="zh-CN"/>
        </w:rPr>
        <w:t>10</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13.14</w:t>
      </w:r>
      <w:r>
        <w:rPr>
          <w:rFonts w:hint="eastAsia" w:ascii="仿宋" w:hAnsi="仿宋" w:eastAsia="仿宋" w:cs="仿宋"/>
          <w:color w:val="000000"/>
          <w:sz w:val="32"/>
          <w:szCs w:val="32"/>
        </w:rPr>
        <w:t xml:space="preserve">%。 </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3" w:firstLineChars="200"/>
        <w:textAlignment w:val="auto"/>
        <w:outlineLvl w:val="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四、财政拨款收入支出预算总体情况说明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仿宋" w:hAnsi="仿宋" w:eastAsia="仿宋" w:cs="仿宋"/>
          <w:color w:val="000000"/>
          <w:sz w:val="32"/>
          <w:szCs w:val="32"/>
          <w:lang w:val="en-US"/>
        </w:rPr>
      </w:pPr>
      <w:r>
        <w:rPr>
          <w:rFonts w:hint="eastAsia" w:ascii="仿宋" w:hAnsi="仿宋" w:eastAsia="仿宋" w:cs="仿宋"/>
          <w:color w:val="000000"/>
          <w:sz w:val="32"/>
          <w:szCs w:val="32"/>
          <w:lang w:eastAsia="zh-CN"/>
        </w:rPr>
        <w:t>焦作市中站区土地收购储备服务中心</w:t>
      </w: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年一般公共预算收支预算</w:t>
      </w:r>
      <w:r>
        <w:rPr>
          <w:rFonts w:hint="eastAsia" w:ascii="仿宋" w:hAnsi="仿宋" w:eastAsia="仿宋" w:cs="仿宋"/>
          <w:color w:val="000000"/>
          <w:sz w:val="32"/>
          <w:szCs w:val="32"/>
          <w:lang w:val="en-US" w:eastAsia="zh-CN"/>
        </w:rPr>
        <w:t>76.10</w:t>
      </w:r>
      <w:r>
        <w:rPr>
          <w:rFonts w:hint="eastAsia" w:ascii="仿宋" w:hAnsi="仿宋" w:eastAsia="仿宋" w:cs="仿宋"/>
          <w:color w:val="000000"/>
          <w:sz w:val="32"/>
          <w:szCs w:val="32"/>
        </w:rPr>
        <w:t>万元，政府性基金收支预算</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万元。与 202</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年相比，一般公共预算收支预算增加</w:t>
      </w:r>
      <w:r>
        <w:rPr>
          <w:rFonts w:hint="eastAsia" w:ascii="仿宋" w:hAnsi="仿宋" w:eastAsia="仿宋" w:cs="仿宋"/>
          <w:color w:val="000000"/>
          <w:sz w:val="32"/>
          <w:szCs w:val="32"/>
          <w:lang w:val="en-US" w:eastAsia="zh-CN"/>
        </w:rPr>
        <w:t>26.62</w:t>
      </w:r>
      <w:r>
        <w:rPr>
          <w:rFonts w:hint="eastAsia" w:ascii="仿宋" w:hAnsi="仿宋" w:eastAsia="仿宋" w:cs="仿宋"/>
          <w:color w:val="000000"/>
          <w:sz w:val="32"/>
          <w:szCs w:val="32"/>
        </w:rPr>
        <w:t>万元，增长</w:t>
      </w:r>
      <w:r>
        <w:rPr>
          <w:rFonts w:hint="eastAsia" w:ascii="仿宋" w:hAnsi="仿宋" w:eastAsia="仿宋" w:cs="仿宋"/>
          <w:color w:val="000000"/>
          <w:sz w:val="32"/>
          <w:szCs w:val="32"/>
          <w:lang w:val="en-US" w:eastAsia="zh-CN"/>
        </w:rPr>
        <w:t>53.80</w:t>
      </w:r>
      <w:r>
        <w:rPr>
          <w:rFonts w:hint="eastAsia" w:ascii="仿宋" w:hAnsi="仿宋" w:eastAsia="仿宋" w:cs="仿宋"/>
          <w:color w:val="000000"/>
          <w:sz w:val="32"/>
          <w:szCs w:val="32"/>
        </w:rPr>
        <w:t>%，主要原因：</w:t>
      </w:r>
      <w:r>
        <w:rPr>
          <w:rFonts w:hint="eastAsia" w:ascii="仿宋" w:hAnsi="仿宋" w:eastAsia="仿宋" w:cs="仿宋"/>
          <w:color w:val="000000"/>
          <w:sz w:val="32"/>
          <w:szCs w:val="32"/>
          <w:lang w:val="en-US" w:eastAsia="zh-CN"/>
        </w:rPr>
        <w:t>2022年7月</w:t>
      </w:r>
      <w:r>
        <w:rPr>
          <w:rFonts w:hint="eastAsia" w:ascii="仿宋" w:hAnsi="仿宋" w:eastAsia="仿宋" w:cs="仿宋"/>
          <w:color w:val="000000"/>
          <w:sz w:val="32"/>
          <w:szCs w:val="32"/>
          <w:lang w:eastAsia="zh-CN"/>
        </w:rPr>
        <w:t>人才引进</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人，人员经费及公用经费增加。</w:t>
      </w:r>
      <w:r>
        <w:rPr>
          <w:rFonts w:hint="eastAsia" w:ascii="仿宋" w:hAnsi="仿宋" w:eastAsia="仿宋" w:cs="仿宋"/>
          <w:color w:val="000000"/>
          <w:sz w:val="32"/>
          <w:szCs w:val="32"/>
        </w:rPr>
        <w:t>政府性基金收支预算</w:t>
      </w:r>
      <w:r>
        <w:rPr>
          <w:rFonts w:hint="eastAsia" w:ascii="仿宋" w:hAnsi="仿宋" w:eastAsia="仿宋" w:cs="仿宋"/>
          <w:color w:val="000000"/>
          <w:sz w:val="32"/>
          <w:szCs w:val="32"/>
          <w:lang w:eastAsia="zh-CN"/>
        </w:rPr>
        <w:t>与上年相比无增减</w:t>
      </w:r>
      <w:r>
        <w:rPr>
          <w:rFonts w:hint="eastAsia" w:ascii="仿宋" w:hAnsi="仿宋" w:eastAsia="仿宋" w:cs="仿宋"/>
          <w:color w:val="000000"/>
          <w:kern w:val="0"/>
          <w:sz w:val="32"/>
          <w:szCs w:val="32"/>
        </w:rPr>
        <w:t>，主要原因：厉行节约，按照要求严格控制预算</w:t>
      </w:r>
      <w:r>
        <w:rPr>
          <w:rFonts w:hint="eastAsia" w:ascii="仿宋" w:hAnsi="仿宋" w:eastAsia="仿宋" w:cs="仿宋"/>
          <w:color w:val="000000"/>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3" w:firstLineChars="200"/>
        <w:textAlignment w:val="auto"/>
        <w:outlineLvl w:val="0"/>
        <w:rPr>
          <w:rFonts w:hint="eastAsia" w:ascii="仿宋" w:hAnsi="仿宋" w:eastAsia="仿宋" w:cs="仿宋"/>
          <w:b/>
          <w:bCs w:val="0"/>
          <w:color w:val="000000"/>
          <w:sz w:val="32"/>
          <w:szCs w:val="32"/>
        </w:rPr>
      </w:pPr>
      <w:r>
        <w:rPr>
          <w:rFonts w:hint="eastAsia" w:ascii="仿宋" w:hAnsi="仿宋" w:eastAsia="仿宋" w:cs="仿宋"/>
          <w:b/>
          <w:bCs w:val="0"/>
          <w:color w:val="000000"/>
          <w:sz w:val="32"/>
          <w:szCs w:val="32"/>
        </w:rPr>
        <w:t>五、一般公共预算支出预算情况说明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22"/>
        <w:textAlignment w:val="auto"/>
        <w:rPr>
          <w:rFonts w:hint="eastAsia" w:ascii="仿宋" w:hAnsi="仿宋" w:eastAsia="仿宋" w:cs="仿宋"/>
          <w:color w:val="000000"/>
          <w:spacing w:val="6"/>
          <w:kern w:val="0"/>
          <w:sz w:val="32"/>
          <w:szCs w:val="32"/>
          <w:lang w:val="en-US" w:eastAsia="zh-CN"/>
        </w:rPr>
      </w:pPr>
      <w:r>
        <w:rPr>
          <w:rFonts w:hint="eastAsia" w:ascii="仿宋" w:hAnsi="仿宋" w:eastAsia="仿宋" w:cs="仿宋"/>
          <w:color w:val="000000"/>
          <w:sz w:val="32"/>
          <w:szCs w:val="32"/>
          <w:lang w:eastAsia="zh-CN"/>
        </w:rPr>
        <w:t>焦作市中站区土地收购储备服务中心</w:t>
      </w: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年一般公共预算支出年初预算为</w:t>
      </w:r>
      <w:r>
        <w:rPr>
          <w:rFonts w:hint="eastAsia" w:ascii="仿宋" w:hAnsi="仿宋" w:eastAsia="仿宋" w:cs="仿宋"/>
          <w:color w:val="000000"/>
          <w:sz w:val="32"/>
          <w:szCs w:val="32"/>
          <w:lang w:val="en-US" w:eastAsia="zh-CN"/>
        </w:rPr>
        <w:t>76.10</w:t>
      </w:r>
      <w:r>
        <w:rPr>
          <w:rFonts w:hint="eastAsia" w:ascii="仿宋" w:hAnsi="仿宋" w:eastAsia="仿宋" w:cs="仿宋"/>
          <w:color w:val="000000"/>
          <w:sz w:val="32"/>
          <w:szCs w:val="32"/>
        </w:rPr>
        <w:t>万元。主要用于以下方面：</w:t>
      </w:r>
      <w:r>
        <w:rPr>
          <w:rFonts w:hint="eastAsia" w:ascii="仿宋" w:hAnsi="仿宋" w:eastAsia="仿宋" w:cs="仿宋"/>
          <w:color w:val="000000"/>
          <w:spacing w:val="6"/>
          <w:kern w:val="0"/>
          <w:sz w:val="32"/>
          <w:szCs w:val="32"/>
        </w:rPr>
        <w:t>社会保障和就业支出</w:t>
      </w:r>
      <w:r>
        <w:rPr>
          <w:rFonts w:hint="eastAsia" w:ascii="仿宋" w:hAnsi="仿宋" w:eastAsia="仿宋" w:cs="仿宋"/>
          <w:color w:val="000000"/>
          <w:spacing w:val="6"/>
          <w:kern w:val="0"/>
          <w:sz w:val="32"/>
          <w:szCs w:val="32"/>
          <w:lang w:val="en-US" w:eastAsia="zh-CN"/>
        </w:rPr>
        <w:t>5.83</w:t>
      </w:r>
      <w:r>
        <w:rPr>
          <w:rFonts w:hint="eastAsia" w:ascii="仿宋" w:hAnsi="仿宋" w:eastAsia="仿宋" w:cs="仿宋"/>
          <w:color w:val="000000"/>
          <w:spacing w:val="6"/>
          <w:kern w:val="0"/>
          <w:sz w:val="32"/>
          <w:szCs w:val="32"/>
        </w:rPr>
        <w:t>万元，占</w:t>
      </w:r>
      <w:r>
        <w:rPr>
          <w:rFonts w:hint="eastAsia" w:ascii="仿宋" w:hAnsi="仿宋" w:eastAsia="仿宋" w:cs="仿宋"/>
          <w:color w:val="000000"/>
          <w:spacing w:val="6"/>
          <w:kern w:val="0"/>
          <w:sz w:val="32"/>
          <w:szCs w:val="32"/>
          <w:lang w:val="en-US" w:eastAsia="zh-CN"/>
        </w:rPr>
        <w:t>7.66</w:t>
      </w:r>
      <w:r>
        <w:rPr>
          <w:rFonts w:hint="eastAsia" w:ascii="仿宋" w:hAnsi="仿宋" w:eastAsia="仿宋" w:cs="仿宋"/>
          <w:color w:val="000000"/>
          <w:spacing w:val="6"/>
          <w:kern w:val="0"/>
          <w:sz w:val="32"/>
          <w:szCs w:val="32"/>
        </w:rPr>
        <w:t>%；</w:t>
      </w:r>
      <w:r>
        <w:rPr>
          <w:rFonts w:hint="eastAsia" w:ascii="仿宋" w:hAnsi="仿宋" w:eastAsia="仿宋" w:cs="仿宋"/>
          <w:color w:val="000000"/>
          <w:spacing w:val="6"/>
          <w:kern w:val="0"/>
          <w:sz w:val="32"/>
          <w:szCs w:val="32"/>
          <w:lang w:eastAsia="zh-CN"/>
        </w:rPr>
        <w:t>卫生健康支出</w:t>
      </w:r>
      <w:r>
        <w:rPr>
          <w:rFonts w:hint="eastAsia" w:ascii="仿宋" w:hAnsi="仿宋" w:eastAsia="仿宋" w:cs="仿宋"/>
          <w:color w:val="000000"/>
          <w:spacing w:val="6"/>
          <w:kern w:val="0"/>
          <w:sz w:val="32"/>
          <w:szCs w:val="32"/>
          <w:lang w:val="en-US" w:eastAsia="zh-CN"/>
        </w:rPr>
        <w:t>2.73万元，占3.59%；自然资源海洋气象等支出63.17万元，占83.01%；住房保障支出4.37万元，占5.74%。</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3" w:firstLineChars="200"/>
        <w:textAlignment w:val="auto"/>
        <w:outlineLvl w:val="0"/>
        <w:rPr>
          <w:rFonts w:hint="eastAsia" w:ascii="仿宋" w:hAnsi="仿宋" w:eastAsia="仿宋" w:cs="仿宋"/>
          <w:b/>
          <w:bCs w:val="0"/>
          <w:sz w:val="32"/>
          <w:szCs w:val="32"/>
        </w:rPr>
      </w:pPr>
      <w:r>
        <w:rPr>
          <w:rFonts w:hint="eastAsia" w:ascii="仿宋" w:hAnsi="仿宋" w:eastAsia="仿宋" w:cs="仿宋"/>
          <w:b/>
          <w:bCs w:val="0"/>
          <w:color w:val="000000"/>
          <w:kern w:val="0"/>
          <w:sz w:val="32"/>
          <w:szCs w:val="32"/>
        </w:rPr>
        <w:t>六、一般公共预算基本支出预算情况说明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22"/>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sz w:val="32"/>
          <w:szCs w:val="32"/>
          <w:lang w:eastAsia="zh-CN"/>
        </w:rPr>
        <w:t>焦作市中站区土地收购储备服务中心</w:t>
      </w: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年一般公共预算基本支出</w:t>
      </w:r>
      <w:r>
        <w:rPr>
          <w:rFonts w:hint="eastAsia" w:ascii="仿宋" w:hAnsi="仿宋" w:eastAsia="仿宋" w:cs="仿宋"/>
          <w:color w:val="000000"/>
          <w:kern w:val="0"/>
          <w:sz w:val="32"/>
          <w:szCs w:val="32"/>
          <w:lang w:val="en-US" w:eastAsia="zh-CN"/>
        </w:rPr>
        <w:t>66.10</w:t>
      </w:r>
      <w:r>
        <w:rPr>
          <w:rFonts w:hint="eastAsia" w:ascii="仿宋" w:hAnsi="仿宋" w:eastAsia="仿宋" w:cs="仿宋"/>
          <w:color w:val="000000"/>
          <w:sz w:val="32"/>
          <w:szCs w:val="32"/>
        </w:rPr>
        <w:t>万元，其中：</w:t>
      </w:r>
      <w:r>
        <w:rPr>
          <w:rFonts w:hint="eastAsia" w:ascii="仿宋" w:hAnsi="仿宋" w:eastAsia="仿宋" w:cs="仿宋"/>
          <w:b/>
          <w:color w:val="000000"/>
          <w:spacing w:val="-1"/>
          <w:kern w:val="0"/>
          <w:sz w:val="32"/>
          <w:szCs w:val="32"/>
        </w:rPr>
        <w:t>人员经费</w:t>
      </w:r>
      <w:r>
        <w:rPr>
          <w:rFonts w:hint="eastAsia" w:ascii="仿宋" w:hAnsi="仿宋" w:eastAsia="仿宋" w:cs="仿宋"/>
          <w:b/>
          <w:color w:val="000000"/>
          <w:kern w:val="0"/>
          <w:sz w:val="32"/>
          <w:szCs w:val="32"/>
          <w:lang w:val="en-US" w:eastAsia="zh-CN"/>
        </w:rPr>
        <w:t>62.6</w:t>
      </w:r>
      <w:r>
        <w:rPr>
          <w:rFonts w:hint="eastAsia" w:ascii="仿宋" w:hAnsi="仿宋" w:eastAsia="仿宋" w:cs="仿宋"/>
          <w:b/>
          <w:color w:val="000000"/>
          <w:sz w:val="32"/>
          <w:szCs w:val="32"/>
        </w:rPr>
        <w:t>万元</w:t>
      </w:r>
      <w:r>
        <w:rPr>
          <w:rFonts w:hint="eastAsia" w:ascii="仿宋" w:hAnsi="仿宋" w:eastAsia="仿宋" w:cs="仿宋"/>
          <w:color w:val="000000"/>
          <w:sz w:val="32"/>
          <w:szCs w:val="32"/>
        </w:rPr>
        <w:t>，主要包括：</w:t>
      </w:r>
      <w:r>
        <w:rPr>
          <w:rFonts w:hint="eastAsia" w:ascii="仿宋" w:hAnsi="仿宋" w:eastAsia="仿宋" w:cs="仿宋"/>
          <w:color w:val="000000"/>
          <w:kern w:val="0"/>
          <w:sz w:val="32"/>
          <w:szCs w:val="32"/>
        </w:rPr>
        <w:t>机关事业单位基本养老保险缴费</w:t>
      </w:r>
      <w:r>
        <w:rPr>
          <w:rFonts w:hint="eastAsia" w:ascii="仿宋" w:hAnsi="仿宋" w:eastAsia="仿宋" w:cs="仿宋"/>
          <w:color w:val="000000"/>
          <w:kern w:val="0"/>
          <w:sz w:val="32"/>
          <w:szCs w:val="32"/>
          <w:lang w:val="en-US" w:eastAsia="zh-CN"/>
        </w:rPr>
        <w:t>5.83万元</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职工基本医疗保险缴费</w:t>
      </w:r>
      <w:r>
        <w:rPr>
          <w:rFonts w:hint="eastAsia" w:ascii="仿宋" w:hAnsi="仿宋" w:eastAsia="仿宋" w:cs="仿宋"/>
          <w:color w:val="000000"/>
          <w:kern w:val="0"/>
          <w:sz w:val="32"/>
          <w:szCs w:val="32"/>
          <w:lang w:val="en-US" w:eastAsia="zh-CN"/>
        </w:rPr>
        <w:t>2.78万元、</w:t>
      </w:r>
      <w:r>
        <w:rPr>
          <w:rFonts w:hint="eastAsia" w:ascii="仿宋" w:hAnsi="仿宋" w:eastAsia="仿宋" w:cs="仿宋"/>
          <w:color w:val="000000"/>
          <w:kern w:val="0"/>
          <w:sz w:val="32"/>
          <w:szCs w:val="32"/>
        </w:rPr>
        <w:t>基本工资</w:t>
      </w:r>
      <w:r>
        <w:rPr>
          <w:rFonts w:hint="eastAsia" w:ascii="仿宋" w:hAnsi="仿宋" w:eastAsia="仿宋" w:cs="仿宋"/>
          <w:color w:val="000000"/>
          <w:kern w:val="0"/>
          <w:sz w:val="32"/>
          <w:szCs w:val="32"/>
          <w:lang w:val="en-US" w:eastAsia="zh-CN"/>
        </w:rPr>
        <w:t>19.29万元</w:t>
      </w:r>
      <w:r>
        <w:rPr>
          <w:rFonts w:hint="eastAsia" w:ascii="仿宋" w:hAnsi="仿宋" w:eastAsia="仿宋" w:cs="仿宋"/>
          <w:color w:val="000000"/>
          <w:kern w:val="0"/>
          <w:sz w:val="32"/>
          <w:szCs w:val="32"/>
        </w:rPr>
        <w:t>、绩效工资</w:t>
      </w:r>
      <w:r>
        <w:rPr>
          <w:rFonts w:hint="eastAsia" w:ascii="仿宋" w:hAnsi="仿宋" w:eastAsia="仿宋" w:cs="仿宋"/>
          <w:color w:val="000000"/>
          <w:kern w:val="0"/>
          <w:sz w:val="32"/>
          <w:szCs w:val="32"/>
          <w:lang w:val="en-US" w:eastAsia="zh-CN"/>
        </w:rPr>
        <w:t>11.63万元</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奖金</w:t>
      </w:r>
      <w:r>
        <w:rPr>
          <w:rFonts w:hint="eastAsia" w:ascii="仿宋" w:hAnsi="仿宋" w:eastAsia="仿宋" w:cs="仿宋"/>
          <w:color w:val="000000"/>
          <w:kern w:val="0"/>
          <w:sz w:val="32"/>
          <w:szCs w:val="32"/>
          <w:lang w:val="en-US" w:eastAsia="zh-CN"/>
        </w:rPr>
        <w:t>13.32万元、</w:t>
      </w:r>
      <w:r>
        <w:rPr>
          <w:rFonts w:hint="eastAsia" w:ascii="仿宋" w:hAnsi="仿宋" w:eastAsia="仿宋" w:cs="仿宋"/>
          <w:color w:val="000000"/>
          <w:kern w:val="0"/>
          <w:sz w:val="32"/>
          <w:szCs w:val="32"/>
        </w:rPr>
        <w:t>其他社会保障缴费</w:t>
      </w:r>
      <w:r>
        <w:rPr>
          <w:rFonts w:hint="eastAsia" w:ascii="仿宋" w:hAnsi="仿宋" w:eastAsia="仿宋" w:cs="仿宋"/>
          <w:color w:val="000000"/>
          <w:kern w:val="0"/>
          <w:sz w:val="32"/>
          <w:szCs w:val="32"/>
          <w:lang w:val="en-US" w:eastAsia="zh-CN"/>
        </w:rPr>
        <w:t>0.07万元</w:t>
      </w:r>
      <w:r>
        <w:rPr>
          <w:rFonts w:hint="eastAsia" w:ascii="仿宋" w:hAnsi="仿宋" w:eastAsia="仿宋" w:cs="仿宋"/>
          <w:color w:val="000000"/>
          <w:kern w:val="0"/>
          <w:sz w:val="32"/>
          <w:szCs w:val="32"/>
        </w:rPr>
        <w:t>、津贴补贴</w:t>
      </w:r>
      <w:r>
        <w:rPr>
          <w:rFonts w:hint="eastAsia" w:ascii="仿宋" w:hAnsi="仿宋" w:eastAsia="仿宋" w:cs="仿宋"/>
          <w:color w:val="000000"/>
          <w:kern w:val="0"/>
          <w:sz w:val="32"/>
          <w:szCs w:val="32"/>
          <w:lang w:val="en-US" w:eastAsia="zh-CN"/>
        </w:rPr>
        <w:t>5.18万元</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其他工资福利支出</w:t>
      </w:r>
      <w:r>
        <w:rPr>
          <w:rFonts w:hint="eastAsia" w:ascii="仿宋" w:hAnsi="仿宋" w:eastAsia="仿宋" w:cs="仿宋"/>
          <w:color w:val="000000"/>
          <w:kern w:val="0"/>
          <w:sz w:val="32"/>
          <w:szCs w:val="32"/>
          <w:lang w:val="en-US" w:eastAsia="zh-CN"/>
        </w:rPr>
        <w:t>0.13万元、</w:t>
      </w:r>
      <w:r>
        <w:rPr>
          <w:rFonts w:hint="eastAsia" w:ascii="仿宋" w:hAnsi="仿宋" w:eastAsia="仿宋" w:cs="仿宋"/>
          <w:color w:val="000000"/>
          <w:kern w:val="0"/>
          <w:sz w:val="32"/>
          <w:szCs w:val="32"/>
        </w:rPr>
        <w:t>住房公积金</w:t>
      </w:r>
      <w:r>
        <w:rPr>
          <w:rFonts w:hint="eastAsia" w:ascii="仿宋" w:hAnsi="仿宋" w:eastAsia="仿宋" w:cs="仿宋"/>
          <w:color w:val="000000"/>
          <w:kern w:val="0"/>
          <w:sz w:val="32"/>
          <w:szCs w:val="32"/>
          <w:lang w:val="en-US" w:eastAsia="zh-CN"/>
        </w:rPr>
        <w:t>4.37万元</w:t>
      </w:r>
      <w:r>
        <w:rPr>
          <w:rFonts w:hint="eastAsia" w:ascii="仿宋" w:hAnsi="仿宋" w:eastAsia="仿宋" w:cs="仿宋"/>
          <w:color w:val="000000"/>
          <w:kern w:val="0"/>
          <w:sz w:val="32"/>
          <w:szCs w:val="32"/>
        </w:rPr>
        <w:t>；</w:t>
      </w:r>
      <w:r>
        <w:rPr>
          <w:rFonts w:hint="eastAsia" w:ascii="仿宋" w:hAnsi="仿宋" w:eastAsia="仿宋" w:cs="仿宋"/>
          <w:b/>
          <w:bCs/>
          <w:color w:val="000000"/>
          <w:kern w:val="0"/>
          <w:sz w:val="32"/>
          <w:szCs w:val="32"/>
        </w:rPr>
        <w:t>公用经费</w:t>
      </w:r>
      <w:r>
        <w:rPr>
          <w:rFonts w:hint="eastAsia" w:ascii="仿宋" w:hAnsi="仿宋" w:eastAsia="仿宋" w:cs="仿宋"/>
          <w:b/>
          <w:bCs/>
          <w:color w:val="000000"/>
          <w:kern w:val="0"/>
          <w:sz w:val="32"/>
          <w:szCs w:val="32"/>
          <w:lang w:val="en-US" w:eastAsia="zh-CN"/>
        </w:rPr>
        <w:t>3.5</w:t>
      </w:r>
      <w:r>
        <w:rPr>
          <w:rFonts w:hint="eastAsia" w:ascii="仿宋" w:hAnsi="仿宋" w:eastAsia="仿宋" w:cs="仿宋"/>
          <w:b/>
          <w:bCs/>
          <w:color w:val="000000"/>
          <w:kern w:val="0"/>
          <w:sz w:val="32"/>
          <w:szCs w:val="32"/>
        </w:rPr>
        <w:t>万元</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主要包括：工会经费</w:t>
      </w:r>
      <w:r>
        <w:rPr>
          <w:rFonts w:hint="eastAsia" w:ascii="仿宋" w:hAnsi="仿宋" w:eastAsia="仿宋" w:cs="仿宋"/>
          <w:color w:val="000000"/>
          <w:kern w:val="0"/>
          <w:sz w:val="32"/>
          <w:szCs w:val="32"/>
          <w:lang w:val="en-US" w:eastAsia="zh-CN"/>
        </w:rPr>
        <w:t>0.73万元、福利费0.91万元、办公费1.61万元、电费0.24万元、公务接待费0.01万元</w:t>
      </w:r>
      <w:r>
        <w:rPr>
          <w:rFonts w:hint="eastAsia" w:ascii="仿宋" w:hAnsi="仿宋" w:eastAsia="仿宋" w:cs="仿宋"/>
          <w:color w:val="000000"/>
          <w:kern w:val="0"/>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3" w:firstLineChars="200"/>
        <w:textAlignment w:val="auto"/>
        <w:outlineLvl w:val="0"/>
        <w:rPr>
          <w:rFonts w:hint="eastAsia" w:ascii="仿宋" w:hAnsi="仿宋" w:eastAsia="仿宋" w:cs="仿宋"/>
          <w:b/>
          <w:bCs w:val="0"/>
          <w:color w:val="000000"/>
          <w:sz w:val="32"/>
          <w:szCs w:val="32"/>
        </w:rPr>
      </w:pPr>
      <w:r>
        <w:rPr>
          <w:rFonts w:hint="eastAsia" w:ascii="仿宋" w:hAnsi="仿宋" w:eastAsia="仿宋" w:cs="仿宋"/>
          <w:b/>
          <w:bCs w:val="0"/>
          <w:color w:val="000000"/>
          <w:kern w:val="0"/>
          <w:sz w:val="32"/>
          <w:szCs w:val="32"/>
        </w:rPr>
        <w:t>七、政府性基金预算支出预算情况说明</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焦作市中站区土地收购储备服务中心</w:t>
      </w:r>
      <w:r>
        <w:rPr>
          <w:rFonts w:hint="eastAsia" w:ascii="仿宋" w:hAnsi="仿宋" w:eastAsia="仿宋" w:cs="仿宋"/>
          <w:color w:val="000000"/>
          <w:sz w:val="32"/>
          <w:szCs w:val="32"/>
          <w:lang w:val="en-US" w:eastAsia="zh-CN"/>
        </w:rPr>
        <w:t>2023</w:t>
      </w:r>
      <w:r>
        <w:rPr>
          <w:rFonts w:hint="eastAsia" w:ascii="仿宋" w:hAnsi="仿宋" w:eastAsia="仿宋" w:cs="仿宋"/>
          <w:color w:val="000000"/>
          <w:sz w:val="32"/>
          <w:szCs w:val="32"/>
        </w:rPr>
        <w:t>年没有使用政府性基金预算拨款安排的支出。</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3" w:firstLineChars="200"/>
        <w:textAlignment w:val="auto"/>
        <w:rPr>
          <w:rFonts w:hint="eastAsia" w:ascii="仿宋" w:hAnsi="仿宋" w:eastAsia="仿宋" w:cs="仿宋"/>
          <w:b/>
          <w:bCs w:val="0"/>
          <w:color w:val="000000"/>
          <w:kern w:val="0"/>
          <w:sz w:val="32"/>
          <w:szCs w:val="32"/>
        </w:rPr>
      </w:pPr>
      <w:r>
        <w:rPr>
          <w:rFonts w:hint="eastAsia" w:ascii="仿宋" w:hAnsi="仿宋" w:eastAsia="仿宋" w:cs="仿宋"/>
          <w:b/>
          <w:bCs w:val="0"/>
          <w:color w:val="000000"/>
          <w:sz w:val="32"/>
          <w:szCs w:val="32"/>
        </w:rPr>
        <w:t>八、</w:t>
      </w:r>
      <w:r>
        <w:rPr>
          <w:rFonts w:hint="eastAsia" w:ascii="仿宋" w:hAnsi="仿宋" w:eastAsia="仿宋" w:cs="仿宋"/>
          <w:b/>
          <w:bCs w:val="0"/>
          <w:color w:val="000000"/>
          <w:kern w:val="0"/>
          <w:sz w:val="32"/>
          <w:szCs w:val="32"/>
        </w:rPr>
        <w:t>国有资本经营预算支出预算情况说明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焦作市中站区土地收购储备服务中心</w:t>
      </w: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年没有使用国有资本经营预算拨款安排的支出。</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3" w:firstLineChars="200"/>
        <w:textAlignment w:val="auto"/>
        <w:outlineLvl w:val="0"/>
        <w:rPr>
          <w:rFonts w:hint="eastAsia" w:ascii="仿宋" w:hAnsi="仿宋" w:eastAsia="仿宋" w:cs="仿宋"/>
          <w:b/>
          <w:bCs w:val="0"/>
          <w:color w:val="000000"/>
          <w:sz w:val="32"/>
          <w:szCs w:val="32"/>
        </w:rPr>
      </w:pPr>
      <w:r>
        <w:rPr>
          <w:rFonts w:hint="eastAsia" w:ascii="仿宋" w:hAnsi="仿宋" w:eastAsia="仿宋" w:cs="仿宋"/>
          <w:b/>
          <w:bCs w:val="0"/>
          <w:color w:val="000000"/>
          <w:kern w:val="0"/>
          <w:sz w:val="32"/>
          <w:szCs w:val="32"/>
        </w:rPr>
        <w:t>九、“三公”经费支出预算情况说明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焦作市中站区土地收购储备服务中心2023年“三公”经费支出预算为0.01万元，比2022年预算数减少0万元，下降0%，主要原因：厉行节约，按照要求严格控制预算。</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具体支出情况如下：</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（一）因公出国（境）费0万元</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预算数与2022年一致。</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（二）公务用车购置及运行费0万元。预算数与2022年一致。其中公务车辆购置费0万元，预算数与2022年一致；公务用车运行维护费0万元，预算数与2022年一致。</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（三）公务接待费0.01万元，主要用于公务接待，预算数与2022年一致。</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仿宋" w:hAnsi="仿宋" w:eastAsia="仿宋" w:cs="仿宋"/>
          <w:b/>
          <w:bCs w:val="0"/>
          <w:color w:val="000000"/>
          <w:sz w:val="32"/>
          <w:szCs w:val="32"/>
        </w:rPr>
      </w:pPr>
      <w:r>
        <w:rPr>
          <w:rFonts w:hint="eastAsia" w:ascii="仿宋" w:hAnsi="仿宋" w:eastAsia="仿宋" w:cs="仿宋"/>
          <w:color w:val="000000"/>
          <w:kern w:val="0"/>
          <w:sz w:val="32"/>
          <w:szCs w:val="32"/>
        </w:rPr>
        <w:t xml:space="preserve"> </w:t>
      </w:r>
      <w:r>
        <w:rPr>
          <w:rFonts w:hint="eastAsia" w:ascii="仿宋" w:hAnsi="仿宋" w:eastAsia="仿宋" w:cs="仿宋"/>
          <w:b/>
          <w:bCs w:val="0"/>
          <w:color w:val="000000"/>
          <w:spacing w:val="-1"/>
          <w:kern w:val="0"/>
          <w:sz w:val="32"/>
          <w:szCs w:val="32"/>
        </w:rPr>
        <w:t>十、其他重要事项的情况说明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仿宋" w:hAnsi="仿宋" w:eastAsia="仿宋" w:cs="仿宋"/>
          <w:color w:val="000000"/>
          <w:sz w:val="32"/>
          <w:szCs w:val="32"/>
        </w:rPr>
      </w:pPr>
      <w:r>
        <w:rPr>
          <w:rFonts w:hint="eastAsia" w:ascii="仿宋" w:hAnsi="仿宋" w:eastAsia="仿宋" w:cs="仿宋"/>
          <w:color w:val="000000"/>
          <w:kern w:val="0"/>
          <w:sz w:val="32"/>
          <w:szCs w:val="32"/>
        </w:rPr>
        <w:t>（一）</w:t>
      </w:r>
      <w:r>
        <w:rPr>
          <w:rFonts w:hint="eastAsia" w:ascii="仿宋" w:hAnsi="仿宋" w:eastAsia="仿宋" w:cs="仿宋"/>
          <w:color w:val="000000"/>
          <w:kern w:val="0"/>
          <w:sz w:val="32"/>
          <w:szCs w:val="32"/>
          <w:lang w:eastAsia="zh-CN"/>
        </w:rPr>
        <w:t>机关（</w:t>
      </w:r>
      <w:r>
        <w:rPr>
          <w:rFonts w:hint="eastAsia" w:ascii="仿宋" w:hAnsi="仿宋" w:eastAsia="仿宋" w:cs="仿宋"/>
          <w:color w:val="000000"/>
          <w:kern w:val="0"/>
          <w:sz w:val="32"/>
          <w:szCs w:val="32"/>
        </w:rPr>
        <w:t>机构</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运行经费支出情况</w:t>
      </w:r>
    </w:p>
    <w:p>
      <w:pPr>
        <w:overflowPunct w:val="0"/>
        <w:autoSpaceDE w:val="0"/>
        <w:autoSpaceDN w:val="0"/>
        <w:adjustRightInd w:val="0"/>
        <w:snapToGrid w:val="0"/>
        <w:spacing w:line="580" w:lineRule="exact"/>
        <w:ind w:firstLine="622"/>
        <w:rPr>
          <w:rFonts w:hint="eastAsia" w:ascii="仿宋" w:hAnsi="仿宋" w:eastAsia="仿宋" w:cs="仿宋"/>
          <w:color w:val="000000"/>
          <w:kern w:val="0"/>
          <w:sz w:val="32"/>
          <w:szCs w:val="32"/>
          <w:lang w:eastAsia="zh-CN"/>
        </w:rPr>
      </w:pP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年</w:t>
      </w:r>
      <w:r>
        <w:rPr>
          <w:rFonts w:hint="eastAsia" w:ascii="仿宋" w:hAnsi="仿宋" w:eastAsia="仿宋" w:cs="仿宋"/>
          <w:color w:val="000000"/>
          <w:sz w:val="32"/>
          <w:szCs w:val="32"/>
          <w:lang w:eastAsia="zh-CN"/>
        </w:rPr>
        <w:t>机关（</w:t>
      </w:r>
      <w:r>
        <w:rPr>
          <w:rFonts w:hint="eastAsia" w:ascii="仿宋" w:hAnsi="仿宋" w:eastAsia="仿宋" w:cs="仿宋"/>
          <w:color w:val="000000"/>
          <w:sz w:val="32"/>
          <w:szCs w:val="32"/>
        </w:rPr>
        <w:t>机</w:t>
      </w:r>
      <w:r>
        <w:rPr>
          <w:rFonts w:hint="eastAsia" w:ascii="仿宋" w:hAnsi="仿宋" w:eastAsia="仿宋" w:cs="仿宋"/>
          <w:color w:val="000000"/>
          <w:sz w:val="32"/>
          <w:szCs w:val="32"/>
          <w:lang w:eastAsia="zh-CN"/>
        </w:rPr>
        <w:t>构）</w:t>
      </w:r>
      <w:r>
        <w:rPr>
          <w:rFonts w:hint="eastAsia" w:ascii="仿宋" w:hAnsi="仿宋" w:eastAsia="仿宋" w:cs="仿宋"/>
          <w:color w:val="000000"/>
          <w:sz w:val="32"/>
          <w:szCs w:val="32"/>
        </w:rPr>
        <w:t>运行经费支出预算</w:t>
      </w:r>
      <w:r>
        <w:rPr>
          <w:rFonts w:hint="eastAsia" w:ascii="仿宋" w:hAnsi="仿宋" w:eastAsia="仿宋" w:cs="仿宋"/>
          <w:color w:val="000000"/>
          <w:kern w:val="0"/>
          <w:sz w:val="32"/>
          <w:szCs w:val="32"/>
          <w:lang w:val="en-US" w:eastAsia="zh-CN"/>
        </w:rPr>
        <w:t>1.86</w:t>
      </w:r>
      <w:r>
        <w:rPr>
          <w:rFonts w:hint="eastAsia" w:ascii="仿宋" w:hAnsi="仿宋" w:eastAsia="仿宋" w:cs="仿宋"/>
          <w:color w:val="000000"/>
          <w:sz w:val="32"/>
          <w:szCs w:val="32"/>
        </w:rPr>
        <w:t>万元，主要保障机构正常运转及正常履职需要的办公费、电费、</w:t>
      </w:r>
      <w:r>
        <w:rPr>
          <w:rFonts w:hint="eastAsia" w:ascii="仿宋" w:hAnsi="仿宋" w:eastAsia="仿宋" w:cs="仿宋"/>
          <w:color w:val="000000"/>
          <w:sz w:val="32"/>
          <w:szCs w:val="32"/>
          <w:lang w:eastAsia="zh-CN"/>
        </w:rPr>
        <w:t>公务接待费</w:t>
      </w:r>
      <w:r>
        <w:rPr>
          <w:rFonts w:hint="eastAsia" w:ascii="仿宋" w:hAnsi="仿宋" w:eastAsia="仿宋" w:cs="仿宋"/>
          <w:color w:val="000000"/>
          <w:sz w:val="32"/>
          <w:szCs w:val="32"/>
        </w:rPr>
        <w:t>等支出</w:t>
      </w:r>
      <w:r>
        <w:rPr>
          <w:rFonts w:hint="eastAsia" w:ascii="仿宋" w:hAnsi="仿宋" w:eastAsia="仿宋" w:cs="仿宋"/>
          <w:color w:val="000000"/>
          <w:sz w:val="32"/>
          <w:szCs w:val="32"/>
          <w:lang w:eastAsia="zh-CN"/>
        </w:rPr>
        <w:t>，</w:t>
      </w:r>
      <w:r>
        <w:rPr>
          <w:rFonts w:hint="eastAsia" w:ascii="仿宋" w:hAnsi="仿宋" w:eastAsia="仿宋" w:cs="仿宋"/>
          <w:color w:val="000000"/>
          <w:kern w:val="0"/>
          <w:sz w:val="32"/>
          <w:szCs w:val="32"/>
        </w:rPr>
        <w:t>比上年</w:t>
      </w:r>
      <w:r>
        <w:rPr>
          <w:rFonts w:hint="eastAsia" w:ascii="仿宋" w:hAnsi="仿宋" w:eastAsia="仿宋" w:cs="仿宋"/>
          <w:color w:val="000000"/>
          <w:kern w:val="0"/>
          <w:sz w:val="32"/>
          <w:szCs w:val="32"/>
          <w:lang w:eastAsia="zh-CN"/>
        </w:rPr>
        <w:t>增加</w:t>
      </w:r>
      <w:r>
        <w:rPr>
          <w:rFonts w:hint="eastAsia" w:ascii="仿宋" w:hAnsi="仿宋" w:eastAsia="仿宋" w:cs="仿宋"/>
          <w:color w:val="000000"/>
          <w:kern w:val="0"/>
          <w:sz w:val="32"/>
          <w:szCs w:val="32"/>
          <w:lang w:val="en-US" w:eastAsia="zh-CN"/>
        </w:rPr>
        <w:t>0.62</w:t>
      </w:r>
      <w:r>
        <w:rPr>
          <w:rFonts w:hint="eastAsia" w:ascii="仿宋" w:hAnsi="仿宋" w:eastAsia="仿宋" w:cs="仿宋"/>
          <w:color w:val="000000"/>
          <w:kern w:val="0"/>
          <w:sz w:val="32"/>
          <w:szCs w:val="32"/>
        </w:rPr>
        <w:t>万元，</w:t>
      </w:r>
      <w:r>
        <w:rPr>
          <w:rFonts w:hint="eastAsia" w:ascii="仿宋" w:hAnsi="仿宋" w:eastAsia="仿宋" w:cs="仿宋"/>
          <w:color w:val="000000"/>
          <w:kern w:val="0"/>
          <w:sz w:val="32"/>
          <w:szCs w:val="32"/>
          <w:lang w:eastAsia="zh-CN"/>
        </w:rPr>
        <w:t>增长</w:t>
      </w:r>
      <w:r>
        <w:rPr>
          <w:rFonts w:hint="eastAsia" w:ascii="仿宋" w:hAnsi="仿宋" w:eastAsia="仿宋" w:cs="仿宋"/>
          <w:color w:val="000000"/>
          <w:kern w:val="0"/>
          <w:sz w:val="32"/>
          <w:szCs w:val="32"/>
          <w:lang w:val="en-US" w:eastAsia="zh-CN"/>
        </w:rPr>
        <w:t>50</w:t>
      </w:r>
      <w:r>
        <w:rPr>
          <w:rFonts w:hint="eastAsia" w:ascii="仿宋" w:hAnsi="仿宋" w:eastAsia="仿宋" w:cs="仿宋"/>
          <w:color w:val="000000"/>
          <w:kern w:val="0"/>
          <w:sz w:val="32"/>
          <w:szCs w:val="32"/>
        </w:rPr>
        <w:t>%，主要原因：</w:t>
      </w:r>
      <w:r>
        <w:rPr>
          <w:rFonts w:hint="eastAsia" w:ascii="仿宋" w:hAnsi="仿宋" w:eastAsia="仿宋" w:cs="仿宋"/>
          <w:color w:val="000000"/>
          <w:kern w:val="0"/>
          <w:sz w:val="32"/>
          <w:szCs w:val="32"/>
          <w:lang w:eastAsia="zh-CN"/>
        </w:rPr>
        <w:t>人员增多，公用经费增加。</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（二）政府采购支出情况</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仿宋" w:hAnsi="仿宋" w:eastAsia="仿宋" w:cs="仿宋"/>
          <w:color w:val="000000"/>
          <w:kern w:val="0"/>
          <w:sz w:val="32"/>
          <w:szCs w:val="32"/>
        </w:rPr>
      </w:pPr>
      <w:r>
        <w:rPr>
          <w:rFonts w:hint="eastAsia" w:ascii="仿宋" w:hAnsi="仿宋" w:eastAsia="仿宋" w:cs="仿宋"/>
          <w:color w:val="000000"/>
          <w:sz w:val="32"/>
          <w:szCs w:val="32"/>
        </w:rPr>
        <w:t>2023年政府采购预算安排</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sz w:val="32"/>
          <w:szCs w:val="32"/>
        </w:rPr>
        <w:t>万元，其中：</w:t>
      </w:r>
      <w:r>
        <w:rPr>
          <w:rFonts w:hint="eastAsia" w:ascii="仿宋" w:hAnsi="仿宋" w:eastAsia="仿宋" w:cs="仿宋"/>
          <w:color w:val="000000"/>
          <w:kern w:val="0"/>
          <w:sz w:val="32"/>
          <w:szCs w:val="32"/>
        </w:rPr>
        <w:t>政府采购货物预算</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万元、政府采购工程预算</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万元、政府采购服务预算</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万元。</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（三）关于预算绩效管理工作开展情况说明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年</w:t>
      </w:r>
      <w:r>
        <w:rPr>
          <w:rFonts w:hint="eastAsia" w:ascii="仿宋" w:hAnsi="仿宋" w:eastAsia="仿宋" w:cs="仿宋"/>
          <w:color w:val="000000"/>
          <w:sz w:val="32"/>
          <w:szCs w:val="32"/>
          <w:lang w:eastAsia="zh-CN"/>
        </w:rPr>
        <w:t>焦作市中站区土地收购储备服务中心</w:t>
      </w:r>
      <w:r>
        <w:rPr>
          <w:rFonts w:hint="eastAsia" w:ascii="仿宋" w:hAnsi="仿宋" w:eastAsia="仿宋" w:cs="仿宋"/>
          <w:color w:val="000000"/>
          <w:sz w:val="32"/>
          <w:szCs w:val="32"/>
        </w:rPr>
        <w:t>按要求编制了绩效目标，包括</w:t>
      </w:r>
      <w:r>
        <w:rPr>
          <w:rFonts w:hint="eastAsia" w:ascii="仿宋" w:hAnsi="仿宋" w:eastAsia="仿宋" w:cs="仿宋"/>
          <w:color w:val="000000"/>
          <w:sz w:val="32"/>
          <w:szCs w:val="32"/>
          <w:lang w:eastAsia="zh-CN"/>
        </w:rPr>
        <w:t>部门</w:t>
      </w:r>
      <w:r>
        <w:rPr>
          <w:rFonts w:hint="eastAsia" w:ascii="仿宋" w:hAnsi="仿宋" w:eastAsia="仿宋" w:cs="仿宋"/>
          <w:color w:val="000000"/>
          <w:sz w:val="32"/>
          <w:szCs w:val="32"/>
        </w:rPr>
        <w:t>整体绩效目标和项目支出绩效目标，综合反映了</w:t>
      </w:r>
      <w:r>
        <w:rPr>
          <w:rFonts w:hint="eastAsia" w:ascii="仿宋" w:hAnsi="仿宋" w:eastAsia="仿宋" w:cs="仿宋"/>
          <w:color w:val="000000"/>
          <w:sz w:val="32"/>
          <w:szCs w:val="32"/>
          <w:lang w:eastAsia="zh-CN"/>
        </w:rPr>
        <w:t>部门</w:t>
      </w:r>
      <w:r>
        <w:rPr>
          <w:rFonts w:hint="eastAsia" w:ascii="仿宋" w:hAnsi="仿宋" w:eastAsia="仿宋" w:cs="仿宋"/>
          <w:color w:val="000000"/>
          <w:sz w:val="32"/>
          <w:szCs w:val="32"/>
        </w:rPr>
        <w:t>及各项目预期完成的数量、实效、质量，产生的社会经济效益和服务对象满意度等情况。</w:t>
      </w:r>
      <w:r>
        <w:rPr>
          <w:rFonts w:hint="eastAsia" w:ascii="仿宋" w:hAnsi="仿宋" w:eastAsia="仿宋" w:cs="仿宋"/>
          <w:color w:val="000000"/>
          <w:sz w:val="28"/>
          <w:szCs w:val="28"/>
        </w:rPr>
        <w:t xml:space="preserve"> </w:t>
      </w: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年，我</w:t>
      </w:r>
      <w:r>
        <w:rPr>
          <w:rFonts w:hint="eastAsia" w:ascii="仿宋" w:hAnsi="仿宋" w:eastAsia="仿宋" w:cs="仿宋"/>
          <w:color w:val="000000"/>
          <w:sz w:val="32"/>
          <w:szCs w:val="32"/>
          <w:lang w:eastAsia="zh-CN"/>
        </w:rPr>
        <w:t>部门</w:t>
      </w:r>
      <w:r>
        <w:rPr>
          <w:rFonts w:hint="eastAsia" w:ascii="仿宋" w:hAnsi="仿宋" w:eastAsia="仿宋" w:cs="仿宋"/>
          <w:color w:val="000000"/>
          <w:sz w:val="32"/>
          <w:szCs w:val="32"/>
        </w:rPr>
        <w:t>纳入预算绩效管理的支出总额为</w:t>
      </w:r>
      <w:r>
        <w:rPr>
          <w:rFonts w:hint="eastAsia" w:ascii="仿宋" w:hAnsi="仿宋" w:eastAsia="仿宋" w:cs="仿宋"/>
          <w:color w:val="000000"/>
          <w:kern w:val="0"/>
          <w:sz w:val="24"/>
          <w:szCs w:val="24"/>
        </w:rPr>
        <w:t xml:space="preserve"> </w:t>
      </w:r>
      <w:r>
        <w:rPr>
          <w:rFonts w:hint="eastAsia" w:ascii="仿宋" w:hAnsi="仿宋" w:eastAsia="仿宋" w:cs="仿宋"/>
          <w:color w:val="000000"/>
          <w:kern w:val="0"/>
          <w:sz w:val="32"/>
          <w:szCs w:val="32"/>
          <w:lang w:val="en-US" w:eastAsia="zh-CN"/>
        </w:rPr>
        <w:t>76.10</w:t>
      </w:r>
      <w:r>
        <w:rPr>
          <w:rFonts w:hint="eastAsia" w:ascii="仿宋" w:hAnsi="仿宋" w:eastAsia="仿宋" w:cs="仿宋"/>
          <w:color w:val="000000"/>
          <w:sz w:val="32"/>
          <w:szCs w:val="32"/>
        </w:rPr>
        <w:t>万元。其中：</w:t>
      </w:r>
      <w:r>
        <w:rPr>
          <w:rFonts w:hint="eastAsia" w:ascii="仿宋" w:hAnsi="仿宋" w:eastAsia="仿宋" w:cs="仿宋"/>
          <w:color w:val="000000"/>
          <w:sz w:val="32"/>
          <w:szCs w:val="32"/>
          <w:lang w:eastAsia="zh-CN"/>
        </w:rPr>
        <w:t>人员经费</w:t>
      </w:r>
      <w:r>
        <w:rPr>
          <w:rFonts w:hint="eastAsia" w:ascii="仿宋" w:hAnsi="仿宋" w:eastAsia="仿宋" w:cs="仿宋"/>
          <w:color w:val="000000"/>
          <w:sz w:val="32"/>
          <w:szCs w:val="32"/>
          <w:lang w:val="en-US" w:eastAsia="zh-CN"/>
        </w:rPr>
        <w:t>62.60万元</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公用经费</w:t>
      </w:r>
      <w:r>
        <w:rPr>
          <w:rFonts w:hint="eastAsia" w:ascii="仿宋" w:hAnsi="仿宋" w:eastAsia="仿宋" w:cs="仿宋"/>
          <w:color w:val="000000"/>
          <w:sz w:val="32"/>
          <w:szCs w:val="32"/>
          <w:lang w:val="en-US" w:eastAsia="zh-CN"/>
        </w:rPr>
        <w:t>3.5万元；</w:t>
      </w:r>
      <w:r>
        <w:rPr>
          <w:rFonts w:hint="eastAsia" w:ascii="仿宋" w:hAnsi="仿宋" w:eastAsia="仿宋" w:cs="仿宋"/>
          <w:color w:val="000000"/>
          <w:sz w:val="32"/>
          <w:szCs w:val="32"/>
        </w:rPr>
        <w:t>项目</w:t>
      </w:r>
      <w:r>
        <w:rPr>
          <w:rFonts w:hint="eastAsia" w:ascii="仿宋" w:hAnsi="仿宋" w:eastAsia="仿宋" w:cs="仿宋"/>
          <w:color w:val="000000"/>
          <w:sz w:val="32"/>
          <w:szCs w:val="32"/>
          <w:lang w:eastAsia="zh-CN"/>
        </w:rPr>
        <w:t>经费</w:t>
      </w:r>
      <w:r>
        <w:rPr>
          <w:rFonts w:hint="eastAsia" w:ascii="仿宋" w:hAnsi="仿宋" w:eastAsia="仿宋" w:cs="仿宋"/>
          <w:color w:val="000000"/>
          <w:kern w:val="0"/>
          <w:sz w:val="32"/>
          <w:szCs w:val="32"/>
          <w:lang w:val="en-US" w:eastAsia="zh-CN"/>
        </w:rPr>
        <w:t>10</w:t>
      </w:r>
      <w:r>
        <w:rPr>
          <w:rFonts w:hint="eastAsia" w:ascii="仿宋" w:hAnsi="仿宋" w:eastAsia="仿宋" w:cs="仿宋"/>
          <w:color w:val="000000"/>
          <w:sz w:val="32"/>
          <w:szCs w:val="32"/>
        </w:rPr>
        <w:t>万元，涉及项目</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sz w:val="32"/>
          <w:szCs w:val="32"/>
        </w:rPr>
        <w:t>个。我</w:t>
      </w:r>
      <w:r>
        <w:rPr>
          <w:rFonts w:hint="eastAsia" w:ascii="仿宋" w:hAnsi="仿宋" w:eastAsia="仿宋" w:cs="仿宋"/>
          <w:color w:val="000000"/>
          <w:sz w:val="32"/>
          <w:szCs w:val="32"/>
          <w:lang w:eastAsia="zh-CN"/>
        </w:rPr>
        <w:t>部门</w:t>
      </w:r>
      <w:r>
        <w:rPr>
          <w:rFonts w:hint="eastAsia" w:ascii="仿宋" w:hAnsi="仿宋" w:eastAsia="仿宋" w:cs="仿宋"/>
          <w:color w:val="000000"/>
          <w:sz w:val="32"/>
          <w:szCs w:val="32"/>
        </w:rPr>
        <w:t>2023年未开展重点项目预算的绩效目标。</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（四）国有资产占用情况</w:t>
      </w:r>
    </w:p>
    <w:p>
      <w:pPr>
        <w:overflowPunct w:val="0"/>
        <w:autoSpaceDE w:val="0"/>
        <w:autoSpaceDN w:val="0"/>
        <w:adjustRightInd w:val="0"/>
        <w:snapToGrid w:val="0"/>
        <w:spacing w:line="58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上年期末，</w:t>
      </w:r>
      <w:r>
        <w:rPr>
          <w:rFonts w:hint="eastAsia" w:ascii="仿宋" w:hAnsi="仿宋" w:eastAsia="仿宋" w:cs="仿宋"/>
          <w:color w:val="000000"/>
          <w:sz w:val="32"/>
          <w:szCs w:val="32"/>
          <w:lang w:eastAsia="zh-CN"/>
        </w:rPr>
        <w:t>焦作市中站区土地收购储备服务中心</w:t>
      </w:r>
      <w:r>
        <w:rPr>
          <w:rFonts w:hint="eastAsia" w:ascii="仿宋" w:hAnsi="仿宋" w:eastAsia="仿宋" w:cs="仿宋"/>
          <w:color w:val="000000"/>
          <w:kern w:val="0"/>
          <w:sz w:val="32"/>
          <w:szCs w:val="32"/>
        </w:rPr>
        <w:t>固定资产总额</w:t>
      </w:r>
      <w:r>
        <w:rPr>
          <w:rFonts w:hint="eastAsia" w:ascii="仿宋" w:hAnsi="仿宋" w:eastAsia="仿宋" w:cs="仿宋"/>
          <w:color w:val="000000"/>
          <w:kern w:val="0"/>
          <w:sz w:val="32"/>
          <w:szCs w:val="32"/>
          <w:lang w:val="en-US" w:eastAsia="zh-CN"/>
        </w:rPr>
        <w:t>1.85</w:t>
      </w:r>
      <w:r>
        <w:rPr>
          <w:rFonts w:hint="eastAsia" w:ascii="仿宋" w:hAnsi="仿宋" w:eastAsia="仿宋" w:cs="仿宋"/>
          <w:color w:val="000000"/>
          <w:kern w:val="0"/>
          <w:sz w:val="32"/>
          <w:szCs w:val="32"/>
        </w:rPr>
        <w:t>万元，其中，房屋建筑物</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万元，车辆</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万元，办公设备</w:t>
      </w:r>
      <w:r>
        <w:rPr>
          <w:rFonts w:hint="eastAsia" w:ascii="仿宋" w:hAnsi="仿宋" w:eastAsia="仿宋" w:cs="仿宋"/>
          <w:color w:val="000000"/>
          <w:kern w:val="0"/>
          <w:sz w:val="32"/>
          <w:szCs w:val="32"/>
          <w:lang w:val="en-US" w:eastAsia="zh-CN"/>
        </w:rPr>
        <w:t>1.85</w:t>
      </w:r>
      <w:r>
        <w:rPr>
          <w:rFonts w:hint="eastAsia" w:ascii="仿宋" w:hAnsi="仿宋" w:eastAsia="仿宋" w:cs="仿宋"/>
          <w:color w:val="000000"/>
          <w:kern w:val="0"/>
          <w:sz w:val="32"/>
          <w:szCs w:val="32"/>
        </w:rPr>
        <w:t>万元，专用设备</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万元，其他资产</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万元。车辆共有</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辆，其中：一般公务用车</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辆，执法执勤车</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辆；单位价值50万元以上通用设备</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台（套），单位价值100万元以上专用设备</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台（套）。</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（五）专项转移支付项目情况</w:t>
      </w:r>
    </w:p>
    <w:p>
      <w:pPr>
        <w:widowControl/>
        <w:spacing w:line="58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我部门</w:t>
      </w:r>
      <w:r>
        <w:rPr>
          <w:rFonts w:hint="eastAsia" w:ascii="仿宋" w:hAnsi="仿宋" w:eastAsia="仿宋" w:cs="仿宋"/>
          <w:color w:val="000000"/>
          <w:sz w:val="32"/>
          <w:szCs w:val="32"/>
          <w:lang w:val="en-US" w:eastAsia="zh-CN"/>
        </w:rPr>
        <w:t>2023年</w:t>
      </w:r>
      <w:r>
        <w:rPr>
          <w:rFonts w:hint="eastAsia" w:ascii="仿宋" w:hAnsi="仿宋" w:eastAsia="仿宋" w:cs="仿宋"/>
          <w:color w:val="000000"/>
          <w:sz w:val="32"/>
          <w:szCs w:val="32"/>
          <w:lang w:eastAsia="zh-CN"/>
        </w:rPr>
        <w:t>没有专项转移支付资金安排的项目。</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（六）关于预算部门构成说明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年我</w:t>
      </w:r>
      <w:r>
        <w:rPr>
          <w:rFonts w:hint="eastAsia" w:ascii="仿宋" w:hAnsi="仿宋" w:eastAsia="仿宋" w:cs="仿宋"/>
          <w:color w:val="000000"/>
          <w:sz w:val="32"/>
          <w:szCs w:val="32"/>
          <w:lang w:eastAsia="zh-CN"/>
        </w:rPr>
        <w:t>部门</w:t>
      </w:r>
      <w:r>
        <w:rPr>
          <w:rFonts w:hint="eastAsia" w:ascii="仿宋" w:hAnsi="仿宋" w:eastAsia="仿宋" w:cs="仿宋"/>
          <w:color w:val="000000"/>
          <w:sz w:val="32"/>
          <w:szCs w:val="32"/>
        </w:rPr>
        <w:t>按照</w:t>
      </w:r>
      <w:r>
        <w:rPr>
          <w:rFonts w:hint="eastAsia" w:ascii="仿宋" w:hAnsi="仿宋" w:eastAsia="仿宋" w:cs="仿宋"/>
          <w:color w:val="000000"/>
          <w:sz w:val="32"/>
          <w:szCs w:val="32"/>
          <w:lang w:eastAsia="zh-CN"/>
        </w:rPr>
        <w:t>区</w:t>
      </w:r>
      <w:r>
        <w:rPr>
          <w:rFonts w:hint="eastAsia" w:ascii="仿宋" w:hAnsi="仿宋" w:eastAsia="仿宋" w:cs="仿宋"/>
          <w:color w:val="000000"/>
          <w:sz w:val="32"/>
          <w:szCs w:val="32"/>
        </w:rPr>
        <w:t>财政预算公开要求，将所属预算单位全部纳入预算公开范围。</w:t>
      </w:r>
    </w:p>
    <w:p>
      <w:pPr>
        <w:keepNext w:val="0"/>
        <w:keepLines w:val="0"/>
        <w:pageBreakBefore w:val="0"/>
        <w:widowControl w:val="0"/>
        <w:kinsoku/>
        <w:wordWrap/>
        <w:overflowPunct w:val="0"/>
        <w:topLinePunct w:val="0"/>
        <w:autoSpaceDE w:val="0"/>
        <w:autoSpaceDN w:val="0"/>
        <w:bidi w:val="0"/>
        <w:adjustRightInd w:val="0"/>
        <w:snapToGrid w:val="0"/>
        <w:spacing w:line="540" w:lineRule="exact"/>
        <w:ind w:left="0" w:leftChars="0" w:right="0"/>
        <w:jc w:val="center"/>
        <w:textAlignment w:val="auto"/>
        <w:rPr>
          <w:rFonts w:hint="eastAsia" w:ascii="仿宋" w:hAnsi="仿宋" w:eastAsia="仿宋" w:cs="仿宋"/>
          <w:bCs/>
          <w:color w:val="000000"/>
          <w:sz w:val="36"/>
          <w:szCs w:val="36"/>
        </w:rPr>
      </w:pPr>
    </w:p>
    <w:p>
      <w:pPr>
        <w:keepNext w:val="0"/>
        <w:keepLines w:val="0"/>
        <w:pageBreakBefore w:val="0"/>
        <w:widowControl w:val="0"/>
        <w:kinsoku/>
        <w:wordWrap/>
        <w:overflowPunct w:val="0"/>
        <w:topLinePunct w:val="0"/>
        <w:autoSpaceDE w:val="0"/>
        <w:autoSpaceDN w:val="0"/>
        <w:bidi w:val="0"/>
        <w:adjustRightInd w:val="0"/>
        <w:snapToGrid w:val="0"/>
        <w:spacing w:line="540" w:lineRule="exact"/>
        <w:ind w:left="0" w:leftChars="0" w:right="0"/>
        <w:jc w:val="center"/>
        <w:textAlignment w:val="auto"/>
        <w:rPr>
          <w:rFonts w:hint="eastAsia" w:ascii="仿宋" w:hAnsi="仿宋" w:eastAsia="仿宋" w:cs="仿宋"/>
          <w:b/>
          <w:bCs w:val="0"/>
          <w:color w:val="000000"/>
          <w:sz w:val="36"/>
          <w:szCs w:val="36"/>
        </w:rPr>
      </w:pPr>
      <w:r>
        <w:rPr>
          <w:rFonts w:hint="eastAsia" w:ascii="仿宋" w:hAnsi="仿宋" w:eastAsia="仿宋" w:cs="仿宋"/>
          <w:b/>
          <w:bCs w:val="0"/>
          <w:color w:val="000000"/>
          <w:sz w:val="36"/>
          <w:szCs w:val="36"/>
        </w:rPr>
        <w:t>第三部分  名词解释</w:t>
      </w:r>
    </w:p>
    <w:p>
      <w:pPr>
        <w:keepNext w:val="0"/>
        <w:keepLines w:val="0"/>
        <w:pageBreakBefore w:val="0"/>
        <w:widowControl w:val="0"/>
        <w:kinsoku/>
        <w:wordWrap/>
        <w:overflowPunct w:val="0"/>
        <w:topLinePunct w:val="0"/>
        <w:autoSpaceDE w:val="0"/>
        <w:autoSpaceDN w:val="0"/>
        <w:bidi w:val="0"/>
        <w:adjustRightInd w:val="0"/>
        <w:snapToGrid w:val="0"/>
        <w:spacing w:line="540" w:lineRule="exact"/>
        <w:ind w:left="0" w:leftChars="0" w:right="0" w:firstLine="640" w:firstLineChars="200"/>
        <w:textAlignment w:val="auto"/>
        <w:rPr>
          <w:rFonts w:hint="eastAsia" w:ascii="仿宋" w:hAnsi="仿宋" w:eastAsia="仿宋" w:cs="仿宋"/>
          <w:color w:val="000000"/>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4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一、财政拨款收入：是指</w:t>
      </w:r>
      <w:bookmarkStart w:id="0" w:name="_GoBack"/>
      <w:bookmarkEnd w:id="0"/>
      <w:r>
        <w:rPr>
          <w:rFonts w:hint="eastAsia" w:ascii="仿宋" w:hAnsi="仿宋" w:eastAsia="仿宋" w:cs="仿宋"/>
          <w:color w:val="000000"/>
          <w:sz w:val="32"/>
          <w:szCs w:val="32"/>
        </w:rPr>
        <w:t>财政当年拨付的资金。</w:t>
      </w:r>
    </w:p>
    <w:p>
      <w:pPr>
        <w:keepNext w:val="0"/>
        <w:keepLines w:val="0"/>
        <w:pageBreakBefore w:val="0"/>
        <w:widowControl w:val="0"/>
        <w:kinsoku/>
        <w:wordWrap/>
        <w:overflowPunct w:val="0"/>
        <w:topLinePunct w:val="0"/>
        <w:autoSpaceDE w:val="0"/>
        <w:autoSpaceDN w:val="0"/>
        <w:bidi w:val="0"/>
        <w:adjustRightInd w:val="0"/>
        <w:snapToGrid w:val="0"/>
        <w:spacing w:line="54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二、事业收入：是指事业单位开展专业活动及辅助活动所取 得的收入。</w:t>
      </w:r>
    </w:p>
    <w:p>
      <w:pPr>
        <w:keepNext w:val="0"/>
        <w:keepLines w:val="0"/>
        <w:pageBreakBefore w:val="0"/>
        <w:widowControl w:val="0"/>
        <w:kinsoku/>
        <w:wordWrap/>
        <w:overflowPunct w:val="0"/>
        <w:topLinePunct w:val="0"/>
        <w:autoSpaceDE w:val="0"/>
        <w:autoSpaceDN w:val="0"/>
        <w:bidi w:val="0"/>
        <w:adjustRightInd w:val="0"/>
        <w:snapToGrid w:val="0"/>
        <w:spacing w:line="54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三、其他收入：是指部门取得的除“财政拨款”、“事业收入”、“事业单位经营收入”等以外的收入。 </w:t>
      </w:r>
    </w:p>
    <w:p>
      <w:pPr>
        <w:keepNext w:val="0"/>
        <w:keepLines w:val="0"/>
        <w:pageBreakBefore w:val="0"/>
        <w:widowControl w:val="0"/>
        <w:kinsoku/>
        <w:wordWrap/>
        <w:overflowPunct w:val="0"/>
        <w:topLinePunct w:val="0"/>
        <w:autoSpaceDE w:val="0"/>
        <w:autoSpaceDN w:val="0"/>
        <w:bidi w:val="0"/>
        <w:adjustRightInd w:val="0"/>
        <w:snapToGrid w:val="0"/>
        <w:spacing w:line="54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四、基本支出：是指为保障机构正常运转、完成日常工作任务所必需的开支，其内容包括人员经费和日常公用经费两部分。</w:t>
      </w:r>
    </w:p>
    <w:p>
      <w:pPr>
        <w:keepNext w:val="0"/>
        <w:keepLines w:val="0"/>
        <w:pageBreakBefore w:val="0"/>
        <w:widowControl w:val="0"/>
        <w:kinsoku/>
        <w:wordWrap/>
        <w:overflowPunct w:val="0"/>
        <w:topLinePunct w:val="0"/>
        <w:autoSpaceDE w:val="0"/>
        <w:autoSpaceDN w:val="0"/>
        <w:bidi w:val="0"/>
        <w:adjustRightInd w:val="0"/>
        <w:snapToGrid w:val="0"/>
        <w:spacing w:line="54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五、项目支出：是指在基本支出之外，为完成特定的行政工作任务或事业发展目标所发生的支出。</w:t>
      </w:r>
    </w:p>
    <w:p>
      <w:pPr>
        <w:keepNext w:val="0"/>
        <w:keepLines w:val="0"/>
        <w:pageBreakBefore w:val="0"/>
        <w:widowControl w:val="0"/>
        <w:kinsoku/>
        <w:wordWrap/>
        <w:overflowPunct w:val="0"/>
        <w:topLinePunct w:val="0"/>
        <w:autoSpaceDE w:val="0"/>
        <w:autoSpaceDN w:val="0"/>
        <w:bidi w:val="0"/>
        <w:adjustRightInd w:val="0"/>
        <w:snapToGrid w:val="0"/>
        <w:spacing w:line="54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六、“三公”经费：是指纳入财政预算管理，部门使用财政拨款安排的因公出国（境）费、公务用车购置及运行费和公务接待费。其中，因公出国（境）费反映单位公务出国（境）的住宿费、</w:t>
      </w:r>
      <w:r>
        <w:rPr>
          <w:rFonts w:hint="eastAsia" w:ascii="仿宋" w:hAnsi="仿宋" w:eastAsia="仿宋" w:cs="仿宋"/>
          <w:kern w:val="2"/>
          <w:sz w:val="32"/>
          <w:szCs w:val="32"/>
          <w:lang w:val="en-US" w:eastAsia="zh-CN" w:bidi="ar-SA"/>
        </w:rPr>
        <w:t>差</w:t>
      </w:r>
      <w:r>
        <w:rPr>
          <w:rFonts w:hint="eastAsia" w:ascii="仿宋" w:hAnsi="仿宋" w:eastAsia="仿宋" w:cs="仿宋"/>
          <w:color w:val="000000"/>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val="0"/>
        <w:topLinePunct w:val="0"/>
        <w:autoSpaceDE w:val="0"/>
        <w:autoSpaceDN w:val="0"/>
        <w:bidi w:val="0"/>
        <w:adjustRightInd w:val="0"/>
        <w:snapToGrid w:val="0"/>
        <w:spacing w:line="540"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七、</w:t>
      </w:r>
      <w:r>
        <w:rPr>
          <w:rFonts w:hint="eastAsia" w:ascii="仿宋" w:hAnsi="仿宋" w:eastAsia="仿宋" w:cs="仿宋"/>
          <w:color w:val="000000"/>
          <w:sz w:val="32"/>
          <w:szCs w:val="32"/>
          <w:lang w:eastAsia="zh-CN"/>
        </w:rPr>
        <w:t>机关（</w:t>
      </w:r>
      <w:r>
        <w:rPr>
          <w:rFonts w:hint="eastAsia" w:ascii="仿宋" w:hAnsi="仿宋" w:eastAsia="仿宋" w:cs="仿宋"/>
          <w:color w:val="000000"/>
          <w:sz w:val="32"/>
          <w:szCs w:val="32"/>
        </w:rPr>
        <w:t>机构</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运行经费：是指为保障行政（事业）单位机构正常运转及正常履职需要的办公费、水电费、日常维修、物业费、维修费、差旅费、公务用车运行维护费以及其他费用等支出。</w:t>
      </w:r>
    </w:p>
    <w:p>
      <w:pPr>
        <w:pStyle w:val="2"/>
        <w:keepNext w:val="0"/>
        <w:keepLines w:val="0"/>
        <w:pageBreakBefore w:val="0"/>
        <w:widowControl w:val="0"/>
        <w:kinsoku/>
        <w:wordWrap/>
        <w:topLinePunct w:val="0"/>
        <w:bidi w:val="0"/>
        <w:spacing w:line="540" w:lineRule="exact"/>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sz w:val="32"/>
          <w:szCs w:val="32"/>
          <w:lang w:eastAsia="zh-CN"/>
        </w:rPr>
        <w:t>八、</w:t>
      </w:r>
      <w:r>
        <w:rPr>
          <w:rFonts w:hint="eastAsia" w:ascii="仿宋" w:hAnsi="仿宋" w:eastAsia="仿宋" w:cs="仿宋"/>
          <w:color w:val="000000"/>
          <w:kern w:val="2"/>
          <w:sz w:val="32"/>
          <w:szCs w:val="32"/>
          <w:lang w:val="en-US" w:eastAsia="zh-CN" w:bidi="ar-SA"/>
        </w:rPr>
        <w:t>自然资源海洋气象支出：反映用地报批、项目服务等方面的支出。</w:t>
      </w:r>
    </w:p>
    <w:p>
      <w:pPr>
        <w:keepNext w:val="0"/>
        <w:keepLines w:val="0"/>
        <w:pageBreakBefore w:val="0"/>
        <w:widowControl w:val="0"/>
        <w:kinsoku/>
        <w:wordWrap/>
        <w:overflowPunct w:val="0"/>
        <w:topLinePunct w:val="0"/>
        <w:autoSpaceDE w:val="0"/>
        <w:autoSpaceDN w:val="0"/>
        <w:bidi w:val="0"/>
        <w:adjustRightInd w:val="0"/>
        <w:snapToGrid w:val="0"/>
        <w:spacing w:line="540" w:lineRule="exact"/>
        <w:ind w:firstLine="640" w:firstLineChars="200"/>
        <w:textAlignment w:val="auto"/>
        <w:rPr>
          <w:rFonts w:hint="eastAsia" w:ascii="仿宋" w:hAnsi="仿宋" w:eastAsia="仿宋" w:cs="仿宋"/>
          <w:kern w:val="2"/>
          <w:sz w:val="32"/>
          <w:szCs w:val="21"/>
          <w:lang w:val="en-US" w:eastAsia="zh-CN" w:bidi="ar-SA"/>
        </w:rPr>
      </w:pPr>
    </w:p>
    <w:p>
      <w:pPr>
        <w:keepNext w:val="0"/>
        <w:keepLines w:val="0"/>
        <w:pageBreakBefore w:val="0"/>
        <w:widowControl w:val="0"/>
        <w:kinsoku/>
        <w:wordWrap/>
        <w:overflowPunct w:val="0"/>
        <w:topLinePunct w:val="0"/>
        <w:autoSpaceDE w:val="0"/>
        <w:autoSpaceDN w:val="0"/>
        <w:bidi w:val="0"/>
        <w:adjustRightInd w:val="0"/>
        <w:snapToGrid w:val="0"/>
        <w:spacing w:line="540" w:lineRule="exact"/>
        <w:ind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kern w:val="2"/>
          <w:sz w:val="32"/>
          <w:szCs w:val="21"/>
          <w:lang w:val="en-US" w:eastAsia="zh-CN" w:bidi="ar-SA"/>
        </w:rPr>
        <w:t>附件：焦作市中站区土地收购储备服务中心2023年度部门预算公开表</w:t>
      </w:r>
    </w:p>
    <w:sectPr>
      <w:footerReference r:id="rId3" w:type="default"/>
      <w:pgSz w:w="11906" w:h="16838"/>
      <w:pgMar w:top="1440" w:right="1474" w:bottom="1440" w:left="158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796DEC"/>
    <w:multiLevelType w:val="singleLevel"/>
    <w:tmpl w:val="5A796DE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yNzU3NmExNjU1MDc3ZmJjZjQ5NWJiYmQ1M2ZkMzcifQ=="/>
  </w:docVars>
  <w:rsids>
    <w:rsidRoot w:val="3536409C"/>
    <w:rsid w:val="007E3617"/>
    <w:rsid w:val="021F0D28"/>
    <w:rsid w:val="04F96FF0"/>
    <w:rsid w:val="05644F36"/>
    <w:rsid w:val="09526A91"/>
    <w:rsid w:val="09842E27"/>
    <w:rsid w:val="09B36F96"/>
    <w:rsid w:val="12582B20"/>
    <w:rsid w:val="1486132A"/>
    <w:rsid w:val="17F17CA2"/>
    <w:rsid w:val="19910906"/>
    <w:rsid w:val="1EEC19C7"/>
    <w:rsid w:val="1F674CF2"/>
    <w:rsid w:val="222877ED"/>
    <w:rsid w:val="225B49EE"/>
    <w:rsid w:val="24EF141E"/>
    <w:rsid w:val="282E28F9"/>
    <w:rsid w:val="29CA5FE1"/>
    <w:rsid w:val="2B181E22"/>
    <w:rsid w:val="2B6E2873"/>
    <w:rsid w:val="2BE0256A"/>
    <w:rsid w:val="2E717347"/>
    <w:rsid w:val="2E8D3FCA"/>
    <w:rsid w:val="302A6A85"/>
    <w:rsid w:val="313755DD"/>
    <w:rsid w:val="3536409C"/>
    <w:rsid w:val="35C1268F"/>
    <w:rsid w:val="388D7854"/>
    <w:rsid w:val="39C35E2A"/>
    <w:rsid w:val="3B605538"/>
    <w:rsid w:val="3C531381"/>
    <w:rsid w:val="42D62D94"/>
    <w:rsid w:val="4559571D"/>
    <w:rsid w:val="4A7A71B7"/>
    <w:rsid w:val="4CA23C1F"/>
    <w:rsid w:val="4CEA0599"/>
    <w:rsid w:val="500835F4"/>
    <w:rsid w:val="51246997"/>
    <w:rsid w:val="59203790"/>
    <w:rsid w:val="626614CD"/>
    <w:rsid w:val="63CD61C9"/>
    <w:rsid w:val="68132EB0"/>
    <w:rsid w:val="6A6E5F0E"/>
    <w:rsid w:val="6DA34F6D"/>
    <w:rsid w:val="72655877"/>
    <w:rsid w:val="73957388"/>
    <w:rsid w:val="740E1409"/>
    <w:rsid w:val="742B03C9"/>
    <w:rsid w:val="74302297"/>
    <w:rsid w:val="74565BD3"/>
    <w:rsid w:val="77A4447A"/>
    <w:rsid w:val="77B61844"/>
    <w:rsid w:val="7F5E7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600" w:lineRule="exact"/>
      <w:ind w:firstLine="200" w:firstLineChars="200"/>
    </w:pPr>
    <w:rPr>
      <w:rFonts w:eastAsia="仿宋_GB2312"/>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2803</Words>
  <Characters>3060</Characters>
  <Lines>0</Lines>
  <Paragraphs>0</Paragraphs>
  <TotalTime>0</TotalTime>
  <ScaleCrop>false</ScaleCrop>
  <LinksUpToDate>false</LinksUpToDate>
  <CharactersWithSpaces>3087</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2022-05-13T07:39:00Z</dcterms:created>
  <dc:creator>Administrator</dc:creator>
  <cp:lastModifiedBy>Administrator</cp:lastModifiedBy>
  <dcterms:modified xsi:type="dcterms:W3CDTF">2024-09-29T10:29:07Z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ICV">
    <vt:lpwstr>2CBABEE8413C4ACE99E2225F84F46ED7</vt:lpwstr>
  </property>
</Properties>
</file>