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82768">
      <w:pPr>
        <w:widowControl/>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中站区退役军人事务局</w:t>
      </w:r>
    </w:p>
    <w:p w14:paraId="0A4607E8">
      <w:pPr>
        <w:widowControl/>
        <w:jc w:val="center"/>
        <w:rPr>
          <w:rFonts w:cs="宋体" w:asciiTheme="majorEastAsia" w:hAnsiTheme="majorEastAsia" w:eastAsiaTheme="majorEastAsia"/>
          <w:kern w:val="0"/>
          <w:sz w:val="44"/>
          <w:szCs w:val="44"/>
        </w:rPr>
      </w:pPr>
      <w:r>
        <w:rPr>
          <w:rFonts w:hint="eastAsia" w:ascii="方正小标宋简体" w:hAnsi="方正小标宋简体" w:eastAsia="方正小标宋简体" w:cs="方正小标宋简体"/>
          <w:b w:val="0"/>
          <w:bCs w:val="0"/>
          <w:kern w:val="0"/>
          <w:sz w:val="44"/>
          <w:szCs w:val="44"/>
        </w:rPr>
        <w:t>2024年度法治政府建设</w:t>
      </w:r>
      <w:r>
        <w:rPr>
          <w:rFonts w:hint="eastAsia" w:ascii="方正小标宋简体" w:hAnsi="方正小标宋简体" w:eastAsia="方正小标宋简体" w:cs="方正小标宋简体"/>
          <w:b w:val="0"/>
          <w:bCs w:val="0"/>
          <w:kern w:val="0"/>
          <w:sz w:val="44"/>
          <w:szCs w:val="44"/>
          <w:lang w:eastAsia="zh-CN"/>
        </w:rPr>
        <w:t>工作</w:t>
      </w:r>
      <w:r>
        <w:rPr>
          <w:rFonts w:hint="eastAsia" w:ascii="方正小标宋简体" w:hAnsi="方正小标宋简体" w:eastAsia="方正小标宋简体" w:cs="方正小标宋简体"/>
          <w:b w:val="0"/>
          <w:bCs w:val="0"/>
          <w:kern w:val="0"/>
          <w:sz w:val="44"/>
          <w:szCs w:val="44"/>
        </w:rPr>
        <w:t>报告</w:t>
      </w:r>
    </w:p>
    <w:p w14:paraId="5DA9A8A1">
      <w:pPr>
        <w:pStyle w:val="2"/>
        <w:spacing w:before="0" w:beforeAutospacing="0" w:after="0" w:afterAutospacing="0" w:line="560" w:lineRule="exact"/>
        <w:ind w:firstLine="640" w:firstLineChars="200"/>
        <w:jc w:val="both"/>
        <w:rPr>
          <w:rFonts w:ascii="仿宋" w:hAnsi="仿宋" w:eastAsia="仿宋"/>
          <w:sz w:val="32"/>
          <w:szCs w:val="32"/>
        </w:rPr>
      </w:pPr>
    </w:p>
    <w:p w14:paraId="1C29F954">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2024年，</w:t>
      </w:r>
      <w:r>
        <w:rPr>
          <w:rFonts w:hint="eastAsia" w:ascii="仿宋" w:hAnsi="仿宋" w:eastAsia="仿宋"/>
          <w:sz w:val="32"/>
          <w:szCs w:val="32"/>
        </w:rPr>
        <w:t>中站区</w:t>
      </w:r>
      <w:r>
        <w:rPr>
          <w:rFonts w:ascii="仿宋" w:hAnsi="仿宋" w:eastAsia="仿宋"/>
          <w:sz w:val="32"/>
          <w:szCs w:val="32"/>
        </w:rPr>
        <w:t>退役军人事务局坚持以习近平新时代中国特色社会主义思想为指导，深入学习贯彻党的二十大及二十届二中、三中全会精神，全面贯彻落实习近平法治思想和习近平总书记关于退役军人工作重要论述和重要指示批示精神，以务实举措抓紧抓实法治建设，聚力推动退役军人事务工作实现高质量发展。</w:t>
      </w:r>
    </w:p>
    <w:p w14:paraId="2C74078A">
      <w:pPr>
        <w:pStyle w:val="2"/>
        <w:spacing w:before="0" w:beforeAutospacing="0" w:after="0" w:afterAutospacing="0" w:line="560" w:lineRule="exact"/>
        <w:ind w:firstLine="640" w:firstLineChars="200"/>
        <w:jc w:val="both"/>
        <w:rPr>
          <w:rFonts w:ascii="黑体" w:hAnsi="黑体" w:eastAsia="黑体"/>
          <w:b/>
          <w:sz w:val="32"/>
          <w:szCs w:val="32"/>
        </w:rPr>
      </w:pPr>
      <w:r>
        <w:rPr>
          <w:rStyle w:val="5"/>
          <w:rFonts w:ascii="黑体" w:hAnsi="黑体" w:eastAsia="黑体"/>
          <w:b w:val="0"/>
          <w:sz w:val="32"/>
          <w:szCs w:val="32"/>
        </w:rPr>
        <w:t>一、党政主要负责人</w:t>
      </w:r>
      <w:r>
        <w:rPr>
          <w:rStyle w:val="5"/>
          <w:rFonts w:hint="eastAsia" w:ascii="黑体" w:hAnsi="黑体" w:eastAsia="黑体"/>
          <w:b w:val="0"/>
          <w:sz w:val="32"/>
          <w:szCs w:val="32"/>
          <w:lang w:val="en-US" w:eastAsia="zh-CN"/>
        </w:rPr>
        <w:t>履行</w:t>
      </w:r>
      <w:r>
        <w:rPr>
          <w:rStyle w:val="5"/>
          <w:rFonts w:ascii="黑体" w:hAnsi="黑体" w:eastAsia="黑体"/>
          <w:b w:val="0"/>
          <w:sz w:val="32"/>
          <w:szCs w:val="32"/>
        </w:rPr>
        <w:t>推进法治建设第一责任人职责、加强法治政府建设的有关情况</w:t>
      </w:r>
    </w:p>
    <w:p w14:paraId="44F8FD94">
      <w:pPr>
        <w:pStyle w:val="2"/>
        <w:spacing w:before="0" w:beforeAutospacing="0" w:after="0" w:afterAutospacing="0" w:line="560" w:lineRule="exact"/>
        <w:ind w:firstLine="640" w:firstLineChars="200"/>
        <w:jc w:val="both"/>
        <w:rPr>
          <w:rFonts w:hint="eastAsia" w:ascii="仿宋" w:hAnsi="仿宋" w:eastAsia="仿宋"/>
          <w:sz w:val="32"/>
          <w:szCs w:val="32"/>
        </w:rPr>
      </w:pPr>
      <w:r>
        <w:rPr>
          <w:rFonts w:ascii="仿宋" w:hAnsi="仿宋" w:eastAsia="仿宋"/>
          <w:sz w:val="32"/>
          <w:szCs w:val="32"/>
        </w:rPr>
        <w:t>（一）落实第一责任人责任。</w:t>
      </w:r>
      <w:r>
        <w:rPr>
          <w:rFonts w:hint="eastAsia" w:ascii="仿宋" w:hAnsi="仿宋" w:eastAsia="仿宋"/>
          <w:sz w:val="32"/>
          <w:szCs w:val="32"/>
          <w:lang w:eastAsia="zh-CN"/>
        </w:rPr>
        <w:t>严格</w:t>
      </w:r>
      <w:r>
        <w:rPr>
          <w:rFonts w:ascii="仿宋" w:hAnsi="仿宋" w:eastAsia="仿宋"/>
          <w:sz w:val="32"/>
          <w:szCs w:val="32"/>
        </w:rPr>
        <w:t>落实党政主要负责人履行法治政府建设第一责任人职责，研究制定年度工作要点和责任分工，将推进法治政府建设工作纳入年度重点工作任务。严格履行重大执法决定</w:t>
      </w:r>
      <w:r>
        <w:rPr>
          <w:rFonts w:hint="eastAsia" w:ascii="仿宋" w:hAnsi="仿宋" w:eastAsia="仿宋"/>
          <w:sz w:val="32"/>
          <w:szCs w:val="32"/>
          <w:lang w:val="en-US" w:eastAsia="zh-CN"/>
        </w:rPr>
        <w:t>法制</w:t>
      </w:r>
      <w:r>
        <w:rPr>
          <w:rFonts w:ascii="仿宋" w:hAnsi="仿宋" w:eastAsia="仿宋"/>
          <w:sz w:val="32"/>
          <w:szCs w:val="32"/>
        </w:rPr>
        <w:t>审核第一责任人和规范性文件合法性审核第一责任人责任。</w:t>
      </w:r>
    </w:p>
    <w:p w14:paraId="5A34B866">
      <w:pPr>
        <w:pStyle w:val="2"/>
        <w:spacing w:before="0" w:beforeAutospacing="0" w:after="0" w:afterAutospacing="0" w:line="560" w:lineRule="exact"/>
        <w:ind w:firstLine="640" w:firstLineChars="200"/>
        <w:jc w:val="both"/>
        <w:rPr>
          <w:rFonts w:hint="eastAsia" w:ascii="仿宋" w:hAnsi="仿宋" w:eastAsia="仿宋"/>
          <w:sz w:val="32"/>
          <w:szCs w:val="32"/>
        </w:rPr>
      </w:pPr>
      <w:r>
        <w:rPr>
          <w:rFonts w:ascii="仿宋" w:hAnsi="仿宋" w:eastAsia="仿宋"/>
          <w:sz w:val="32"/>
          <w:szCs w:val="32"/>
        </w:rPr>
        <w:t>（二）带头学法用法。将习近平法治思想以及党内法规、宪法、法律法规纳入理论学习中心组学习内容，及时传达习近平总书记关于退役军人工作的重要讲话、指示批示精神以及中央重要文件精神。</w:t>
      </w:r>
    </w:p>
    <w:p w14:paraId="7733F52C">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三）坚持科学决策。坚持民主集中制，集体研究讨论决定重大事项，充分调查研究、广泛征求意见。及时公布政务信息，保障群众的参与权、知情权和监督权，持续强化党内监督，提升行政水平。坚持领导干部述职述廉制度和重大事项报告制度。</w:t>
      </w:r>
    </w:p>
    <w:p w14:paraId="11BA222E">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（四）定期调度研究重大法治政府建设问题。定期调度听取退役军人信访法治化建设等法治建设问题汇报。</w:t>
      </w:r>
    </w:p>
    <w:p w14:paraId="672B48BD">
      <w:pPr>
        <w:pStyle w:val="2"/>
        <w:spacing w:before="0" w:beforeAutospacing="0" w:after="0" w:afterAutospacing="0" w:line="560" w:lineRule="exact"/>
        <w:ind w:firstLine="640" w:firstLineChars="200"/>
        <w:jc w:val="both"/>
        <w:rPr>
          <w:rStyle w:val="5"/>
          <w:rFonts w:ascii="黑体" w:hAnsi="黑体" w:eastAsia="黑体"/>
        </w:rPr>
      </w:pPr>
      <w:r>
        <w:rPr>
          <w:rStyle w:val="5"/>
          <w:rFonts w:ascii="黑体" w:hAnsi="黑体" w:eastAsia="黑体"/>
          <w:b w:val="0"/>
          <w:sz w:val="32"/>
          <w:szCs w:val="32"/>
        </w:rPr>
        <w:t>二、推进法治政府建设的主要举措和成效</w:t>
      </w:r>
    </w:p>
    <w:p w14:paraId="40170352">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（一）强化组织领导。一是持续开展法律政策落实“回头看”活动，系统梳理退役军人各项法律政策，聚焦法律政策落实</w:t>
      </w:r>
      <w:r>
        <w:rPr>
          <w:rFonts w:hint="eastAsia" w:ascii="仿宋" w:hAnsi="仿宋" w:eastAsia="仿宋"/>
          <w:sz w:val="32"/>
          <w:szCs w:val="32"/>
          <w:lang w:val="en-US" w:eastAsia="zh-CN"/>
        </w:rPr>
        <w:t>的</w:t>
      </w:r>
      <w:r>
        <w:rPr>
          <w:rFonts w:ascii="仿宋" w:hAnsi="仿宋" w:eastAsia="仿宋"/>
          <w:sz w:val="32"/>
          <w:szCs w:val="32"/>
        </w:rPr>
        <w:t>重点难点，用心用情为退役军人办实事，推动法律政策成为惠及广大退役军人的实际成果。</w:t>
      </w:r>
      <w:r>
        <w:rPr>
          <w:rFonts w:hint="eastAsia" w:ascii="仿宋" w:hAnsi="仿宋" w:eastAsia="仿宋"/>
          <w:sz w:val="32"/>
          <w:szCs w:val="32"/>
        </w:rPr>
        <w:t>二</w:t>
      </w:r>
      <w:r>
        <w:rPr>
          <w:rFonts w:ascii="仿宋" w:hAnsi="仿宋" w:eastAsia="仿宋"/>
          <w:sz w:val="32"/>
          <w:szCs w:val="32"/>
        </w:rPr>
        <w:t>是制定学法计划，强化法治理论学习。结合党组理论学习中心组，系统深入学习《</w:t>
      </w:r>
      <w:r>
        <w:rPr>
          <w:rFonts w:hint="eastAsia" w:ascii="仿宋" w:hAnsi="仿宋" w:eastAsia="仿宋"/>
          <w:sz w:val="32"/>
          <w:szCs w:val="32"/>
          <w:lang w:val="en-US" w:eastAsia="zh-CN"/>
        </w:rPr>
        <w:t>中华人民共和国</w:t>
      </w:r>
      <w:r>
        <w:rPr>
          <w:rFonts w:ascii="仿宋" w:hAnsi="仿宋" w:eastAsia="仿宋"/>
          <w:sz w:val="32"/>
          <w:szCs w:val="32"/>
        </w:rPr>
        <w:t>退役军人保障法》《</w:t>
      </w:r>
      <w:r>
        <w:rPr>
          <w:rFonts w:hint="eastAsia" w:ascii="仿宋" w:hAnsi="仿宋" w:eastAsia="仿宋"/>
          <w:sz w:val="32"/>
          <w:szCs w:val="32"/>
        </w:rPr>
        <w:t>中华人民共和国</w:t>
      </w:r>
      <w:r>
        <w:rPr>
          <w:rFonts w:ascii="仿宋" w:hAnsi="仿宋" w:eastAsia="仿宋"/>
          <w:sz w:val="32"/>
          <w:szCs w:val="32"/>
        </w:rPr>
        <w:t>国家安全法》《</w:t>
      </w:r>
      <w:r>
        <w:rPr>
          <w:rFonts w:hint="eastAsia" w:ascii="仿宋" w:hAnsi="仿宋" w:eastAsia="仿宋"/>
          <w:sz w:val="32"/>
          <w:szCs w:val="32"/>
        </w:rPr>
        <w:t>中华人民共和国</w:t>
      </w:r>
      <w:r>
        <w:rPr>
          <w:rFonts w:ascii="仿宋" w:hAnsi="仿宋" w:eastAsia="仿宋"/>
          <w:sz w:val="32"/>
          <w:szCs w:val="32"/>
        </w:rPr>
        <w:t>民法典》《退役军人安置条例》《军人抚恤优待条例》等法律法规14次。</w:t>
      </w:r>
    </w:p>
    <w:p w14:paraId="70764B74">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（二）提升依法行政能力。全面落实政务公开制度，自觉接受社会各界监督。开通</w:t>
      </w:r>
      <w:r>
        <w:rPr>
          <w:rFonts w:hint="eastAsia" w:ascii="仿宋" w:hAnsi="仿宋" w:eastAsia="仿宋"/>
          <w:sz w:val="32"/>
          <w:szCs w:val="32"/>
        </w:rPr>
        <w:t>公众号</w:t>
      </w:r>
      <w:r>
        <w:rPr>
          <w:rFonts w:ascii="仿宋" w:hAnsi="仿宋" w:eastAsia="仿宋"/>
          <w:sz w:val="32"/>
          <w:szCs w:val="32"/>
        </w:rPr>
        <w:t>，</w:t>
      </w:r>
      <w:r>
        <w:rPr>
          <w:rFonts w:hint="eastAsia" w:ascii="仿宋" w:hAnsi="仿宋" w:eastAsia="仿宋"/>
          <w:sz w:val="32"/>
          <w:szCs w:val="32"/>
          <w:lang w:val="en-US" w:eastAsia="zh-CN"/>
        </w:rPr>
        <w:t>拓宽</w:t>
      </w:r>
      <w:r>
        <w:rPr>
          <w:rFonts w:ascii="仿宋" w:hAnsi="仿宋" w:eastAsia="仿宋"/>
          <w:sz w:val="32"/>
          <w:szCs w:val="32"/>
        </w:rPr>
        <w:t>信息公开渠道，通过各类公开平台共推送工作动态、政策文件等各类信息。</w:t>
      </w:r>
    </w:p>
    <w:p w14:paraId="0D245C9D">
      <w:pPr>
        <w:pStyle w:val="2"/>
        <w:spacing w:before="0" w:beforeAutospacing="0" w:after="0" w:afterAutospacing="0" w:line="560" w:lineRule="exact"/>
        <w:ind w:firstLine="640" w:firstLineChars="200"/>
        <w:jc w:val="both"/>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三</w:t>
      </w:r>
      <w:r>
        <w:rPr>
          <w:rFonts w:ascii="仿宋" w:hAnsi="仿宋" w:eastAsia="仿宋"/>
          <w:sz w:val="32"/>
          <w:szCs w:val="32"/>
        </w:rPr>
        <w:t>）多措并举学法普法。一是搭建普法平台。持续开展“五进”活动，结合退役军人动态需求，开展法律知识讲座、法律咨询、矛盾调解等活动</w:t>
      </w:r>
      <w:r>
        <w:rPr>
          <w:rFonts w:hint="eastAsia" w:ascii="仿宋" w:hAnsi="仿宋" w:eastAsia="仿宋"/>
          <w:sz w:val="32"/>
          <w:szCs w:val="32"/>
        </w:rPr>
        <w:t>。</w:t>
      </w:r>
      <w:r>
        <w:rPr>
          <w:rFonts w:ascii="仿宋" w:hAnsi="仿宋" w:eastAsia="仿宋"/>
          <w:sz w:val="32"/>
          <w:szCs w:val="32"/>
        </w:rPr>
        <w:t>二是开展普法</w:t>
      </w:r>
      <w:r>
        <w:rPr>
          <w:rFonts w:hint="eastAsia" w:ascii="仿宋" w:hAnsi="仿宋" w:eastAsia="仿宋"/>
          <w:sz w:val="32"/>
          <w:szCs w:val="32"/>
          <w:lang w:val="en-US" w:eastAsia="zh-CN"/>
        </w:rPr>
        <w:t>宣传</w:t>
      </w:r>
      <w:bookmarkStart w:id="0" w:name="_GoBack"/>
      <w:bookmarkEnd w:id="0"/>
      <w:r>
        <w:rPr>
          <w:rFonts w:ascii="仿宋" w:hAnsi="仿宋" w:eastAsia="仿宋"/>
          <w:sz w:val="32"/>
          <w:szCs w:val="32"/>
        </w:rPr>
        <w:t>活动。组织局机关开展普法宣传活动</w:t>
      </w:r>
      <w:r>
        <w:rPr>
          <w:rFonts w:hint="eastAsia" w:ascii="仿宋" w:hAnsi="仿宋" w:eastAsia="仿宋"/>
          <w:sz w:val="32"/>
          <w:szCs w:val="32"/>
        </w:rPr>
        <w:t>。</w:t>
      </w:r>
    </w:p>
    <w:p w14:paraId="233C6DC2">
      <w:pPr>
        <w:pStyle w:val="2"/>
        <w:spacing w:before="0" w:beforeAutospacing="0" w:after="0" w:afterAutospacing="0" w:line="560" w:lineRule="exact"/>
        <w:ind w:firstLine="640" w:firstLineChars="200"/>
        <w:jc w:val="both"/>
        <w:rPr>
          <w:rStyle w:val="5"/>
          <w:rFonts w:ascii="黑体" w:hAnsi="黑体" w:eastAsia="黑体"/>
        </w:rPr>
      </w:pPr>
      <w:r>
        <w:rPr>
          <w:rStyle w:val="5"/>
          <w:rFonts w:ascii="黑体" w:hAnsi="黑体" w:eastAsia="黑体"/>
          <w:b w:val="0"/>
          <w:sz w:val="32"/>
          <w:szCs w:val="32"/>
        </w:rPr>
        <w:t>三、推进法治政府建设存在的不足和原因</w:t>
      </w:r>
    </w:p>
    <w:p w14:paraId="3CDCA3BE">
      <w:pPr>
        <w:pStyle w:val="2"/>
        <w:spacing w:before="0" w:beforeAutospacing="0" w:after="0" w:afterAutospacing="0" w:line="560" w:lineRule="exact"/>
        <w:ind w:firstLine="640" w:firstLineChars="200"/>
        <w:jc w:val="both"/>
        <w:rPr>
          <w:rFonts w:hint="eastAsia" w:ascii="仿宋" w:hAnsi="仿宋" w:eastAsia="仿宋"/>
          <w:sz w:val="32"/>
          <w:szCs w:val="32"/>
        </w:rPr>
      </w:pPr>
      <w:r>
        <w:rPr>
          <w:rFonts w:ascii="仿宋" w:hAnsi="仿宋" w:eastAsia="仿宋"/>
          <w:sz w:val="32"/>
          <w:szCs w:val="32"/>
        </w:rPr>
        <w:t>2024年，在推进法治建设工作过程中虽然取得一定成绩，同时</w:t>
      </w:r>
      <w:r>
        <w:rPr>
          <w:rFonts w:hint="eastAsia" w:ascii="仿宋" w:hAnsi="仿宋" w:eastAsia="仿宋"/>
          <w:sz w:val="32"/>
          <w:szCs w:val="32"/>
          <w:lang w:val="en-US" w:eastAsia="zh-CN"/>
        </w:rPr>
        <w:t>也</w:t>
      </w:r>
      <w:r>
        <w:rPr>
          <w:rFonts w:ascii="仿宋" w:hAnsi="仿宋" w:eastAsia="仿宋"/>
          <w:sz w:val="32"/>
          <w:szCs w:val="32"/>
        </w:rPr>
        <w:t>存在一定的问题和不足。一是运用法治思维和法治方式解决问题的能力与法治政府建设要求还有一定差距。二是学法普法工作形式较单一。年内组织集体学法主要采取集中讲座和自学相结合的方式，集体研讨不够，学习深度有待提升。</w:t>
      </w:r>
    </w:p>
    <w:p w14:paraId="48359452">
      <w:pPr>
        <w:pStyle w:val="2"/>
        <w:spacing w:before="0" w:beforeAutospacing="0" w:after="0" w:afterAutospacing="0" w:line="560" w:lineRule="exact"/>
        <w:ind w:firstLine="640" w:firstLineChars="200"/>
        <w:jc w:val="both"/>
        <w:rPr>
          <w:rStyle w:val="5"/>
          <w:rFonts w:ascii="黑体" w:hAnsi="黑体" w:eastAsia="黑体"/>
        </w:rPr>
      </w:pPr>
      <w:r>
        <w:rPr>
          <w:rStyle w:val="5"/>
          <w:rFonts w:ascii="黑体" w:hAnsi="黑体" w:eastAsia="黑体"/>
          <w:b w:val="0"/>
          <w:sz w:val="32"/>
          <w:szCs w:val="32"/>
        </w:rPr>
        <w:t>四、2025年推进法治政府建设的主要安排</w:t>
      </w:r>
    </w:p>
    <w:p w14:paraId="3E23E2BE">
      <w:pPr>
        <w:pStyle w:val="2"/>
        <w:spacing w:before="0" w:beforeAutospacing="0" w:after="0" w:afterAutospacing="0" w:line="560" w:lineRule="exact"/>
        <w:ind w:firstLine="640" w:firstLineChars="200"/>
        <w:jc w:val="both"/>
        <w:rPr>
          <w:rFonts w:ascii="仿宋" w:hAnsi="仿宋" w:eastAsia="仿宋"/>
          <w:sz w:val="32"/>
          <w:szCs w:val="32"/>
        </w:rPr>
      </w:pPr>
      <w:r>
        <w:rPr>
          <w:rFonts w:ascii="仿宋" w:hAnsi="仿宋" w:eastAsia="仿宋"/>
          <w:sz w:val="32"/>
          <w:szCs w:val="32"/>
        </w:rPr>
        <w:t>一是全面深入系统学习贯彻习近平法治思想。深刻领会习近平法治思想，深刻认识建设高水平高标准法治机关的重要性和紧迫性，提升落实各项法治任务的责任感，主动运用法治思维和法治方式推动退役军人工作高质量发展。二是进一步深化法治宣传教育。紧密结合退役军人工作特点，拓宽普法宣传渠道，组织开展全方位多角度退役军人相关法律法规政策普法宣传教育活动，提高群众对退役军人法律法规和政策制度的认识和理解。三是持续加强法治保障。深入推进退役军人法律服务，严格规范公正文明执法，依法化解矛盾纠纷，全力维护退役军人合法权益，不断提高法治建设质量水平。</w:t>
      </w:r>
    </w:p>
    <w:p w14:paraId="61A6ACDE">
      <w:pPr>
        <w:pStyle w:val="2"/>
        <w:spacing w:before="0" w:beforeAutospacing="0" w:after="0" w:afterAutospacing="0" w:line="560" w:lineRule="exact"/>
        <w:ind w:firstLine="640" w:firstLineChars="200"/>
        <w:jc w:val="both"/>
        <w:rPr>
          <w:rFonts w:ascii="仿宋" w:hAnsi="仿宋" w:eastAsia="仿宋"/>
          <w:sz w:val="32"/>
          <w:szCs w:val="32"/>
        </w:rPr>
      </w:pPr>
      <w:r>
        <w:rPr>
          <w:rFonts w:eastAsia="仿宋"/>
          <w:sz w:val="32"/>
          <w:szCs w:val="32"/>
        </w:rPr>
        <w:t> </w:t>
      </w:r>
    </w:p>
    <w:p w14:paraId="5F94F829">
      <w:pPr>
        <w:spacing w:line="560" w:lineRule="exact"/>
        <w:ind w:firstLine="3520" w:firstLineChars="1100"/>
        <w:rPr>
          <w:rFonts w:hint="eastAsia"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464A"/>
    <w:rsid w:val="0018464A"/>
    <w:rsid w:val="00BE0D7C"/>
    <w:rsid w:val="0F44355D"/>
    <w:rsid w:val="10765998"/>
    <w:rsid w:val="33025B30"/>
    <w:rsid w:val="388A7983"/>
    <w:rsid w:val="3D7A6CB8"/>
    <w:rsid w:val="41636FC4"/>
    <w:rsid w:val="4D697710"/>
    <w:rsid w:val="5C827377"/>
    <w:rsid w:val="6C8B2DA7"/>
    <w:rsid w:val="73A8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1339</Words>
  <Characters>1352</Characters>
  <Lines>9</Lines>
  <Paragraphs>2</Paragraphs>
  <TotalTime>11</TotalTime>
  <ScaleCrop>false</ScaleCrop>
  <LinksUpToDate>false</LinksUpToDate>
  <CharactersWithSpaces>1353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2025-03-17T07:20:00Z</dcterms:created>
  <dc:creator>Administrator</dc:creator>
  <cp:lastModifiedBy>欣雨王</cp:lastModifiedBy>
  <dcterms:modified xsi:type="dcterms:W3CDTF">2025-04-01T01:28:30Z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eyJoZGlkIjoiNjgwMzIwZjZkZThhMTE3YzZmNjU5ZGM4ZmI3ODRkYjQiLCJ1c2VySWQiOiIyNjU2MDcyOTMifQ==</vt:lpwstr>
  </property>
  <property fmtid="{D5CDD505-2E9C-101B-9397-08002B2CF9AE}" pid="3" name="KSOProductBuildVer">
    <vt:lpwstr>2052-12.1.0.20305</vt:lpwstr>
  </property>
  <property fmtid="{D5CDD505-2E9C-101B-9397-08002B2CF9AE}" pid="4" name="ICV">
    <vt:lpwstr>15C35EFCC2D245B4813D832A319FE4CC_12</vt:lpwstr>
  </property>
</Properties>
</file>