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7065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中站区应急管理局</w:t>
      </w:r>
    </w:p>
    <w:p w14:paraId="2FC63F0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44"/>
          <w:szCs w:val="44"/>
          <w:lang w:val="en-US" w:eastAsia="zh-CN"/>
        </w:rPr>
        <w:t>2024年度法治政府建设工作报告</w:t>
      </w:r>
    </w:p>
    <w:p w14:paraId="01F4981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32"/>
          <w:szCs w:val="32"/>
          <w:lang w:val="en-US" w:eastAsia="zh-CN"/>
        </w:rPr>
      </w:pPr>
    </w:p>
    <w:p w14:paraId="075C642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color w:val="000000"/>
          <w:sz w:val="32"/>
          <w:szCs w:val="32"/>
          <w:lang w:val="en-US" w:eastAsia="zh-CN"/>
        </w:rPr>
        <w:t>在区委、区政府的领导下，</w:t>
      </w:r>
      <w:r>
        <w:rPr>
          <w:rFonts w:hint="eastAsia" w:ascii="仿宋_GB2312" w:hAnsi="仿宋_GB2312" w:eastAsia="仿宋_GB2312" w:cs="仿宋_GB2312"/>
          <w:sz w:val="32"/>
          <w:szCs w:val="40"/>
          <w:lang w:val="en-US" w:eastAsia="zh-CN"/>
        </w:rPr>
        <w:t>中站区应急管理局</w:t>
      </w:r>
      <w:r>
        <w:rPr>
          <w:rFonts w:hint="eastAsia" w:ascii="仿宋_GB2312" w:hAnsi="仿宋_GB2312" w:eastAsia="仿宋_GB2312" w:cs="仿宋_GB2312"/>
          <w:sz w:val="32"/>
          <w:szCs w:val="40"/>
        </w:rPr>
        <w:t>以习近平新时代中国特色社会主义思想为指导，深入学习贯彻落实党的二十大精神和习近平总书记关于安全生产、应急管理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color w:val="000000"/>
          <w:kern w:val="0"/>
          <w:sz w:val="32"/>
          <w:szCs w:val="32"/>
          <w:shd w:val="clear" w:fill="FFFFFF"/>
        </w:rPr>
        <w:t>防灾减灾救灾工作</w:t>
      </w:r>
      <w:r>
        <w:rPr>
          <w:rFonts w:hint="eastAsia" w:ascii="仿宋_GB2312" w:hAnsi="仿宋_GB2312" w:eastAsia="仿宋_GB2312" w:cs="仿宋_GB2312"/>
          <w:sz w:val="32"/>
          <w:szCs w:val="40"/>
        </w:rPr>
        <w:t>的重要论述</w:t>
      </w:r>
      <w:r>
        <w:rPr>
          <w:rFonts w:hint="eastAsia" w:ascii="仿宋_GB2312" w:hAnsi="仿宋_GB2312" w:eastAsia="仿宋_GB2312" w:cs="仿宋_GB2312"/>
          <w:color w:val="000000"/>
          <w:kern w:val="0"/>
          <w:sz w:val="32"/>
          <w:szCs w:val="32"/>
          <w:shd w:val="clear" w:fill="FFFFFF"/>
        </w:rPr>
        <w:t>和指示批示精神</w:t>
      </w:r>
      <w:r>
        <w:rPr>
          <w:rFonts w:hint="eastAsia" w:ascii="仿宋_GB2312" w:hAnsi="仿宋_GB2312" w:eastAsia="仿宋_GB2312" w:cs="仿宋_GB2312"/>
          <w:color w:val="000000"/>
          <w:kern w:val="0"/>
          <w:sz w:val="32"/>
          <w:szCs w:val="32"/>
          <w:shd w:val="clear" w:fill="FFFFFF"/>
          <w:lang w:eastAsia="zh-CN"/>
        </w:rPr>
        <w:t>，</w:t>
      </w:r>
      <w:r>
        <w:rPr>
          <w:rFonts w:hint="eastAsia" w:ascii="仿宋_GB2312" w:hAnsi="仿宋_GB2312" w:eastAsia="仿宋_GB2312" w:cs="仿宋_GB2312"/>
          <w:color w:val="000000"/>
          <w:kern w:val="0"/>
          <w:sz w:val="32"/>
          <w:szCs w:val="32"/>
          <w:shd w:val="clear" w:fill="FFFFFF"/>
        </w:rPr>
        <w:t>积极履行应急管理职责，</w:t>
      </w:r>
      <w:r>
        <w:rPr>
          <w:rFonts w:hint="eastAsia" w:ascii="仿宋_GB2312" w:hAnsi="仿宋_GB2312" w:eastAsia="仿宋_GB2312" w:cs="仿宋_GB2312"/>
          <w:color w:val="000000"/>
          <w:sz w:val="32"/>
          <w:szCs w:val="32"/>
          <w:lang w:val="en-US" w:eastAsia="zh-CN"/>
        </w:rPr>
        <w:t>紧紧围绕法治政府建设工作安排和部署，采取有效措施，大力推进应急管理法治建设，较好地完成了各项工作任务。</w:t>
      </w:r>
    </w:p>
    <w:p w14:paraId="080AF17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楷体_GB2312" w:cs="Times New Roman"/>
          <w:b w:val="0"/>
          <w:bCs w:val="0"/>
          <w:spacing w:val="0"/>
          <w:kern w:val="21"/>
          <w:sz w:val="32"/>
          <w:szCs w:val="32"/>
          <w:u w:val="none"/>
          <w:lang w:val="en-US" w:eastAsia="zh-CN"/>
        </w:rPr>
      </w:pPr>
      <w:r>
        <w:rPr>
          <w:rFonts w:hint="default" w:ascii="Times New Roman" w:hAnsi="Times New Roman" w:eastAsia="黑体" w:cs="Times New Roman"/>
          <w:b w:val="0"/>
          <w:bCs w:val="0"/>
          <w:spacing w:val="0"/>
          <w:kern w:val="21"/>
          <w:sz w:val="32"/>
          <w:szCs w:val="32"/>
          <w:u w:val="none"/>
          <w:lang w:val="en-US" w:eastAsia="zh-CN"/>
        </w:rPr>
        <w:t>一、法治建设履职情况</w:t>
      </w:r>
    </w:p>
    <w:p w14:paraId="6B10FC0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楷体_GB2312" w:cs="Times New Roman"/>
          <w:b/>
          <w:bCs/>
          <w:spacing w:val="0"/>
          <w:kern w:val="21"/>
          <w:sz w:val="32"/>
          <w:szCs w:val="32"/>
          <w:u w:val="none"/>
          <w:lang w:val="en-US" w:eastAsia="zh-CN"/>
        </w:rPr>
      </w:pPr>
      <w:r>
        <w:rPr>
          <w:rFonts w:hint="default" w:ascii="Times New Roman" w:hAnsi="Times New Roman" w:eastAsia="楷体_GB2312" w:cs="Times New Roman"/>
          <w:b w:val="0"/>
          <w:bCs w:val="0"/>
          <w:spacing w:val="0"/>
          <w:kern w:val="21"/>
          <w:sz w:val="32"/>
          <w:szCs w:val="32"/>
          <w:u w:val="none"/>
          <w:lang w:val="en-US" w:eastAsia="zh-CN"/>
        </w:rPr>
        <w:t>（一）深化巩固安全生产责任体系</w:t>
      </w:r>
    </w:p>
    <w:p w14:paraId="68EC9B6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pacing w:val="0"/>
          <w:kern w:val="21"/>
          <w:sz w:val="32"/>
          <w:szCs w:val="32"/>
          <w:lang w:eastAsia="zh-CN"/>
        </w:rPr>
        <w:t>一是完善责任链条。</w:t>
      </w:r>
      <w:r>
        <w:rPr>
          <w:rFonts w:hint="default" w:ascii="Times New Roman" w:hAnsi="Times New Roman" w:eastAsia="仿宋_GB2312" w:cs="Times New Roman"/>
          <w:sz w:val="32"/>
          <w:szCs w:val="32"/>
          <w:lang w:val="en-US" w:eastAsia="zh-CN"/>
        </w:rPr>
        <w:t>结合《中站区安全生产职责清单》，出台我区《中站区落实落细安全生产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三管三必须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若干规定》，进一步明确易发生群死群伤事故的行业领域的牵头领导和牵头部门；先后36次通过区委常委会、风险研判会、常务会汇报应急管理工作，及时研究安全生产工作；区委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区政府主要领导和分管领导先后采取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四不两直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明察暗访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等方式持续督导，现场督导26次，有力促进了安全生产主体责任落实。</w:t>
      </w:r>
    </w:p>
    <w:p w14:paraId="4B5456C4">
      <w:pPr>
        <w:keepNext w:val="0"/>
        <w:keepLines w:val="0"/>
        <w:pageBreakBefore w:val="0"/>
        <w:widowControl w:val="0"/>
        <w:numPr>
          <w:ilvl w:val="0"/>
          <w:numId w:val="0"/>
        </w:numPr>
        <w:kinsoku/>
        <w:wordWrap/>
        <w:overflowPunct w:val="0"/>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pacing w:val="0"/>
          <w:kern w:val="21"/>
          <w:sz w:val="32"/>
          <w:szCs w:val="32"/>
          <w:lang w:val="en-US" w:eastAsia="zh-CN"/>
        </w:rPr>
        <w:t>二</w:t>
      </w:r>
      <w:r>
        <w:rPr>
          <w:rFonts w:hint="default" w:ascii="Times New Roman" w:hAnsi="Times New Roman" w:eastAsia="仿宋_GB2312" w:cs="Times New Roman"/>
          <w:b/>
          <w:bCs/>
          <w:spacing w:val="0"/>
          <w:kern w:val="21"/>
          <w:sz w:val="32"/>
          <w:szCs w:val="32"/>
          <w:lang w:eastAsia="zh-CN"/>
        </w:rPr>
        <w:t>是建立</w:t>
      </w:r>
      <w:r>
        <w:rPr>
          <w:rFonts w:hint="default" w:ascii="Times New Roman" w:hAnsi="Times New Roman" w:eastAsia="仿宋_GB2312" w:cs="Times New Roman"/>
          <w:b/>
          <w:bCs/>
          <w:spacing w:val="0"/>
          <w:kern w:val="21"/>
          <w:sz w:val="32"/>
          <w:szCs w:val="32"/>
          <w:lang w:val="en-US" w:eastAsia="zh-CN"/>
        </w:rPr>
        <w:t>责任</w:t>
      </w:r>
      <w:r>
        <w:rPr>
          <w:rFonts w:hint="default" w:ascii="Times New Roman" w:hAnsi="Times New Roman" w:eastAsia="仿宋_GB2312" w:cs="Times New Roman"/>
          <w:b/>
          <w:bCs/>
          <w:spacing w:val="0"/>
          <w:kern w:val="21"/>
          <w:sz w:val="32"/>
          <w:szCs w:val="32"/>
          <w:lang w:eastAsia="zh-CN"/>
        </w:rPr>
        <w:t>机制。</w:t>
      </w:r>
      <w:r>
        <w:rPr>
          <w:rFonts w:hint="default" w:ascii="Times New Roman" w:hAnsi="Times New Roman" w:eastAsia="仿宋_GB2312" w:cs="Times New Roman"/>
          <w:sz w:val="32"/>
          <w:szCs w:val="32"/>
          <w:lang w:val="en-US" w:eastAsia="zh-CN"/>
        </w:rPr>
        <w:t>区纪委、区安防减救委联合建立联动督查机制，将安全生产、防灾减灾救灾和消防工作纳入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1+10+N</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重点任务清单，建立安全生产督办、交办、警示、提醒</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四色单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工作机制，已下发交办函7份、警示函13份、提醒函64份，督促各部门细化安全防范措施，及时完成各项安全生产工作任务。</w:t>
      </w:r>
    </w:p>
    <w:p w14:paraId="5A4EC0F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pacing w:val="0"/>
          <w:kern w:val="21"/>
          <w:sz w:val="32"/>
          <w:szCs w:val="32"/>
          <w:u w:val="none"/>
          <w:lang w:eastAsia="zh-CN"/>
        </w:rPr>
      </w:pPr>
      <w:r>
        <w:rPr>
          <w:rFonts w:hint="default" w:ascii="Times New Roman" w:hAnsi="Times New Roman" w:eastAsia="楷体_GB2312" w:cs="Times New Roman"/>
          <w:b w:val="0"/>
          <w:bCs w:val="0"/>
          <w:spacing w:val="0"/>
          <w:kern w:val="21"/>
          <w:sz w:val="32"/>
          <w:szCs w:val="32"/>
          <w:lang w:val="en-US" w:eastAsia="zh-CN"/>
        </w:rPr>
        <w:t>（二）深化本质安全提升。</w:t>
      </w:r>
    </w:p>
    <w:p w14:paraId="42F138E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一是夯实治本攻坚质效。</w:t>
      </w:r>
      <w:r>
        <w:rPr>
          <w:rFonts w:hint="default" w:ascii="Times New Roman" w:hAnsi="Times New Roman" w:eastAsia="仿宋_GB2312" w:cs="Times New Roman"/>
          <w:sz w:val="32"/>
          <w:szCs w:val="32"/>
          <w:lang w:val="en-US" w:eastAsia="zh-CN"/>
        </w:rPr>
        <w:t>围绕安全生产治本攻坚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十一大行动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，形成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1+9+21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治本攻坚方案体系（1个总方案、9个办事处和21个行业领域子方案），印发《中站区安全生产治本攻坚三年行动2024年度重点任务清单》，制定39项治本攻坚年度任务清单，定期通报、及时调度。三年行动开展以来，全区共检查企业27329家次，排查整改问题隐患10399条；安装安全风险监测预警系统企业26家，安全升级改造、淘汰落后产能及设备工艺915项；培训安全监管人员、生产经营单位主要负责人及从业人员7万余人次，各类安全宣传活动覆盖24万余人次。</w:t>
      </w:r>
    </w:p>
    <w:p w14:paraId="6D6A664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二是提升应急保障能力。</w:t>
      </w:r>
      <w:r>
        <w:rPr>
          <w:rFonts w:hint="default" w:ascii="Times New Roman" w:hAnsi="Times New Roman" w:eastAsia="仿宋_GB2312" w:cs="Times New Roman"/>
          <w:sz w:val="32"/>
          <w:szCs w:val="32"/>
          <w:lang w:val="en-US" w:eastAsia="zh-CN"/>
        </w:rPr>
        <w:t>统筹全区各部门、街道、村（社区）和企业修订完善应急预案220个，组织预案培训138场次，督促各单位和企业先后开展危险化学品</w:t>
      </w:r>
      <w:r>
        <w:rPr>
          <w:rFonts w:hint="eastAsia" w:ascii="Times New Roman" w:hAnsi="Times New Roman" w:eastAsia="仿宋_GB2312" w:cs="Times New Roman"/>
          <w:sz w:val="32"/>
          <w:szCs w:val="32"/>
          <w:lang w:val="en-US" w:eastAsia="zh-CN"/>
        </w:rPr>
        <w:t>泄漏</w:t>
      </w:r>
      <w:r>
        <w:rPr>
          <w:rFonts w:hint="default" w:ascii="Times New Roman" w:hAnsi="Times New Roman" w:eastAsia="仿宋_GB2312" w:cs="Times New Roman"/>
          <w:sz w:val="32"/>
          <w:szCs w:val="32"/>
          <w:lang w:val="en-US" w:eastAsia="zh-CN"/>
        </w:rPr>
        <w:t>、有限空间、火灾逃生等科目应急演练1062场次，2.7万余人参加演练。同时，储备各类应急装备物资233类4.3万余件，整合各类救援队伍72支1347人，组建4支26人的化工抢险救援队伍，聘请2名市级应急专家，24小时待命，随时参与突发事件处置，全面提升应急处置能力。</w:t>
      </w:r>
    </w:p>
    <w:p w14:paraId="6151432B">
      <w:pPr>
        <w:pStyle w:val="8"/>
        <w:keepNext w:val="0"/>
        <w:keepLines w:val="0"/>
        <w:pageBreakBefore w:val="0"/>
        <w:widowControl w:val="0"/>
        <w:kinsoku/>
        <w:wordWrap/>
        <w:topLinePunct w:val="0"/>
        <w:bidi w:val="0"/>
        <w:snapToGrid/>
        <w:spacing w:line="579"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b/>
          <w:bCs/>
          <w:color w:val="auto"/>
          <w:sz w:val="32"/>
          <w:szCs w:val="32"/>
          <w:u w:val="none"/>
          <w:lang w:val="en-US" w:eastAsia="zh-CN"/>
        </w:rPr>
        <w:t>三</w:t>
      </w:r>
      <w:r>
        <w:rPr>
          <w:rFonts w:hint="default" w:ascii="Times New Roman" w:hAnsi="Times New Roman" w:eastAsia="仿宋_GB2312" w:cs="Times New Roman"/>
          <w:b/>
          <w:bCs/>
          <w:color w:val="auto"/>
          <w:sz w:val="32"/>
          <w:szCs w:val="32"/>
          <w:u w:val="none"/>
          <w:lang w:val="en-US" w:eastAsia="zh-CN"/>
        </w:rPr>
        <w:t>是强化宣教培训力度</w:t>
      </w:r>
      <w:r>
        <w:rPr>
          <w:rFonts w:hint="default" w:ascii="Times New Roman" w:hAnsi="Times New Roman" w:cs="Times New Roman"/>
          <w:b/>
          <w:bCs/>
          <w:color w:val="auto"/>
          <w:sz w:val="32"/>
          <w:szCs w:val="32"/>
          <w:u w:val="none"/>
          <w:lang w:val="en-US" w:eastAsia="zh-CN"/>
        </w:rPr>
        <w:t>。</w:t>
      </w:r>
      <w:r>
        <w:rPr>
          <w:rFonts w:hint="default" w:ascii="Times New Roman" w:hAnsi="Times New Roman" w:eastAsia="仿宋_GB2312" w:cs="Times New Roman"/>
          <w:color w:val="auto"/>
          <w:kern w:val="2"/>
          <w:sz w:val="32"/>
          <w:szCs w:val="32"/>
          <w:lang w:val="en-US" w:eastAsia="zh-CN" w:bidi="ar-SA"/>
        </w:rPr>
        <w:t>结合《中华人民共和国突发事件应对法》修订情况，</w:t>
      </w:r>
      <w:r>
        <w:rPr>
          <w:rFonts w:hint="eastAsia" w:ascii="Times New Roman" w:hAnsi="Times New Roman" w:cs="Times New Roman"/>
          <w:color w:val="auto"/>
          <w:kern w:val="2"/>
          <w:sz w:val="32"/>
          <w:szCs w:val="32"/>
          <w:lang w:val="en-US" w:eastAsia="zh-CN" w:bidi="ar-SA"/>
        </w:rPr>
        <w:t>定期</w:t>
      </w:r>
      <w:r>
        <w:rPr>
          <w:rFonts w:hint="default" w:ascii="Times New Roman" w:hAnsi="Times New Roman" w:eastAsia="仿宋_GB2312" w:cs="Times New Roman"/>
          <w:color w:val="auto"/>
          <w:kern w:val="2"/>
          <w:sz w:val="32"/>
          <w:szCs w:val="32"/>
          <w:lang w:val="en-US" w:eastAsia="zh-CN" w:bidi="ar-SA"/>
        </w:rPr>
        <w:t>组织开展突发事件</w:t>
      </w:r>
      <w:r>
        <w:rPr>
          <w:rFonts w:hint="eastAsia" w:ascii="Times New Roman" w:cs="Times New Roman"/>
          <w:color w:val="auto"/>
          <w:kern w:val="2"/>
          <w:sz w:val="32"/>
          <w:szCs w:val="32"/>
          <w:lang w:val="en-US" w:eastAsia="zh-CN" w:bidi="ar-SA"/>
        </w:rPr>
        <w:t>应对</w:t>
      </w:r>
      <w:r>
        <w:rPr>
          <w:rFonts w:hint="default" w:ascii="Times New Roman" w:hAnsi="Times New Roman" w:eastAsia="仿宋_GB2312" w:cs="Times New Roman"/>
          <w:color w:val="auto"/>
          <w:kern w:val="2"/>
          <w:sz w:val="32"/>
          <w:szCs w:val="32"/>
          <w:lang w:val="en-US" w:eastAsia="zh-CN" w:bidi="ar-SA"/>
        </w:rPr>
        <w:t>法治宣传，对照修订后的新规定进一步完善工作制度机制，推动法律各项规定落地落实。</w:t>
      </w:r>
      <w:r>
        <w:rPr>
          <w:rFonts w:hint="eastAsia" w:ascii="Times New Roman" w:hAnsi="Times New Roman" w:cs="Times New Roman"/>
          <w:color w:val="auto"/>
          <w:kern w:val="2"/>
          <w:sz w:val="32"/>
          <w:szCs w:val="32"/>
          <w:lang w:val="en-US" w:eastAsia="zh-CN" w:bidi="ar-SA"/>
        </w:rPr>
        <w:t>在</w:t>
      </w:r>
      <w:r>
        <w:rPr>
          <w:rFonts w:hint="default" w:ascii="Times New Roman" w:hAnsi="Times New Roman" w:eastAsia="仿宋_GB2312" w:cs="Times New Roman"/>
          <w:color w:val="auto"/>
          <w:kern w:val="2"/>
          <w:sz w:val="32"/>
          <w:szCs w:val="32"/>
          <w:lang w:val="en-US" w:eastAsia="zh-CN" w:bidi="ar-SA"/>
        </w:rPr>
        <w:t>全民层面，利用融媒体、微电影、现场讲座等方式开展安全警示教育和</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五进</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活动200余场，覆盖群众3.9万余人次。</w:t>
      </w:r>
      <w:r>
        <w:rPr>
          <w:rFonts w:hint="eastAsia" w:ascii="Times New Roman" w:cs="Times New Roman"/>
          <w:color w:val="auto"/>
          <w:kern w:val="2"/>
          <w:sz w:val="32"/>
          <w:szCs w:val="32"/>
          <w:lang w:val="en-US" w:eastAsia="zh-CN" w:bidi="ar-SA"/>
        </w:rPr>
        <w:t>在</w:t>
      </w:r>
      <w:r>
        <w:rPr>
          <w:rFonts w:hint="default" w:ascii="Times New Roman" w:hAnsi="Times New Roman" w:eastAsia="仿宋_GB2312" w:cs="Times New Roman"/>
          <w:color w:val="auto"/>
          <w:kern w:val="2"/>
          <w:sz w:val="32"/>
          <w:szCs w:val="32"/>
          <w:lang w:val="en-US" w:eastAsia="zh-CN" w:bidi="ar-SA"/>
        </w:rPr>
        <w:t>企业层面，聚焦各类专项整治，督促各生产经营单位常态化开展</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四个带头</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、职工技能比武等活动。</w:t>
      </w:r>
      <w:r>
        <w:rPr>
          <w:rFonts w:hint="eastAsia" w:ascii="Times New Roman" w:hAnsi="Times New Roman" w:cs="Times New Roman"/>
          <w:color w:val="auto"/>
          <w:kern w:val="2"/>
          <w:sz w:val="32"/>
          <w:szCs w:val="32"/>
          <w:lang w:val="en-US" w:eastAsia="zh-CN" w:bidi="ar-SA"/>
        </w:rPr>
        <w:t>今年以来</w:t>
      </w:r>
      <w:r>
        <w:rPr>
          <w:rFonts w:hint="default" w:ascii="Times New Roman" w:hAnsi="Times New Roman" w:eastAsia="仿宋_GB2312" w:cs="Times New Roman"/>
          <w:color w:val="auto"/>
          <w:kern w:val="2"/>
          <w:sz w:val="32"/>
          <w:szCs w:val="32"/>
          <w:lang w:val="en-US" w:eastAsia="zh-CN" w:bidi="ar-SA"/>
        </w:rPr>
        <w:t>，各生产经营单位主要负责人开展风险研判1935次，</w:t>
      </w:r>
      <w:r>
        <w:rPr>
          <w:rFonts w:hint="eastAsia" w:ascii="Times New Roman" w:hAnsi="Times New Roman" w:cs="Times New Roman"/>
          <w:color w:val="auto"/>
          <w:kern w:val="2"/>
          <w:sz w:val="32"/>
          <w:szCs w:val="32"/>
          <w:lang w:val="en-US" w:eastAsia="zh-CN" w:bidi="ar-SA"/>
        </w:rPr>
        <w:t>安全</w:t>
      </w:r>
      <w:r>
        <w:rPr>
          <w:rFonts w:hint="default" w:ascii="Times New Roman" w:hAnsi="Times New Roman" w:eastAsia="仿宋_GB2312" w:cs="Times New Roman"/>
          <w:color w:val="auto"/>
          <w:kern w:val="2"/>
          <w:sz w:val="32"/>
          <w:szCs w:val="32"/>
          <w:lang w:val="en-US" w:eastAsia="zh-CN" w:bidi="ar-SA"/>
        </w:rPr>
        <w:t>警示教育2234次，应急逃生避险演练1559次，</w:t>
      </w:r>
      <w:r>
        <w:rPr>
          <w:rFonts w:hint="eastAsia" w:ascii="Times New Roman" w:hAnsi="Times New Roman" w:cs="Times New Roman"/>
          <w:color w:val="auto"/>
          <w:kern w:val="2"/>
          <w:sz w:val="32"/>
          <w:szCs w:val="32"/>
          <w:lang w:val="en-US" w:eastAsia="zh-CN" w:bidi="ar-SA"/>
        </w:rPr>
        <w:t>排查</w:t>
      </w:r>
      <w:r>
        <w:rPr>
          <w:rFonts w:hint="default" w:ascii="Times New Roman" w:hAnsi="Times New Roman" w:eastAsia="仿宋_GB2312" w:cs="Times New Roman"/>
          <w:color w:val="auto"/>
          <w:kern w:val="2"/>
          <w:sz w:val="32"/>
          <w:szCs w:val="32"/>
          <w:lang w:val="en-US" w:eastAsia="zh-CN" w:bidi="ar-SA"/>
        </w:rPr>
        <w:t>治理问题隐患10218处，</w:t>
      </w:r>
      <w:r>
        <w:rPr>
          <w:rFonts w:hint="eastAsia" w:ascii="Times New Roman" w:hAnsi="Times New Roman" w:cs="Times New Roman"/>
          <w:color w:val="auto"/>
          <w:kern w:val="2"/>
          <w:sz w:val="32"/>
          <w:szCs w:val="32"/>
          <w:lang w:val="en-US" w:eastAsia="zh-CN" w:bidi="ar-SA"/>
        </w:rPr>
        <w:t>开展“</w:t>
      </w:r>
      <w:r>
        <w:rPr>
          <w:rFonts w:hint="default" w:ascii="Times New Roman" w:hAnsi="Times New Roman" w:eastAsia="仿宋_GB2312" w:cs="Times New Roman"/>
          <w:color w:val="auto"/>
          <w:kern w:val="2"/>
          <w:sz w:val="32"/>
          <w:szCs w:val="32"/>
          <w:lang w:val="en-US" w:eastAsia="zh-CN" w:bidi="ar-SA"/>
        </w:rPr>
        <w:t>岗位练兵、技术比武</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活动1092场次。</w:t>
      </w:r>
    </w:p>
    <w:p w14:paraId="22297FA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（三）行政执法严格规范公正文明</w:t>
      </w:r>
    </w:p>
    <w:p w14:paraId="7A05D88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pacing w:val="0"/>
          <w:kern w:val="21"/>
          <w:sz w:val="32"/>
          <w:szCs w:val="32"/>
          <w:lang w:val="en-US" w:eastAsia="zh-CN"/>
        </w:rPr>
        <w:t>一是突出严格精准执法。</w:t>
      </w:r>
      <w:r>
        <w:rPr>
          <w:rFonts w:hint="default" w:ascii="Times New Roman" w:hAnsi="Times New Roman" w:eastAsia="仿宋_GB2312" w:cs="Times New Roman"/>
          <w:sz w:val="32"/>
          <w:szCs w:val="32"/>
          <w:lang w:val="en-US" w:eastAsia="zh-CN"/>
        </w:rPr>
        <w:t>采取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企业先自查自改、部门后精准执法，先学习培训、后监管执法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模式，全面检查与重点抽查相结合、明查与暗访相结合，聚焦安全生产重大事故隐患和重点检查事项，聚焦第一责任人履职情况，深入企业一线不间断开展精准执法检查，对隐患应查未查、应报未报、应改未改的企业，依法从严处罚。今年以来，区应急局共检查生产经营单位299家次、派出执法人员897人次、发现问题隐患3677条、已整改3677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立案9起，处罚32万元。</w:t>
      </w:r>
    </w:p>
    <w:p w14:paraId="05CE7A0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pacing w:val="0"/>
          <w:kern w:val="21"/>
          <w:sz w:val="32"/>
          <w:szCs w:val="32"/>
          <w:lang w:val="en-US" w:eastAsia="zh-CN"/>
        </w:rPr>
        <w:t>二是强化社会监督。</w:t>
      </w:r>
      <w:r>
        <w:rPr>
          <w:rFonts w:hint="default" w:ascii="Times New Roman" w:hAnsi="Times New Roman" w:eastAsia="仿宋_GB2312" w:cs="Times New Roman"/>
          <w:sz w:val="32"/>
          <w:szCs w:val="32"/>
          <w:lang w:val="en-US" w:eastAsia="zh-CN"/>
        </w:rPr>
        <w:t>鼓励企业员工和基层群众聚焦各行业领域，积极举报安全隐患，并按照一般隐患100元、重大隐患1000元的标准给予举报人奖励。已通过微信APP</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中好办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平台、与区融媒体联合制作宣传视频、宣传挂图、宣传彩页等多种方式，对安全隐患举报奖励政策进行全覆盖宣传。今年以来，</w:t>
      </w:r>
      <w:r>
        <w:rPr>
          <w:rFonts w:hint="eastAsia" w:ascii="Times New Roman" w:hAnsi="Times New Roman" w:eastAsia="仿宋_GB2312" w:cs="Times New Roman"/>
          <w:sz w:val="32"/>
          <w:szCs w:val="32"/>
          <w:lang w:val="en-US" w:eastAsia="zh-CN"/>
        </w:rPr>
        <w:t>企事业单位</w:t>
      </w:r>
      <w:r>
        <w:rPr>
          <w:rFonts w:hint="default" w:ascii="Times New Roman" w:hAnsi="Times New Roman" w:eastAsia="仿宋_GB2312" w:cs="Times New Roman"/>
          <w:sz w:val="32"/>
          <w:szCs w:val="32"/>
          <w:lang w:val="en-US" w:eastAsia="zh-CN"/>
        </w:rPr>
        <w:t>共接到并核实有奖举报30起，已发放举报奖励3.728万元。</w:t>
      </w:r>
    </w:p>
    <w:p w14:paraId="799C6A1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pacing w:val="0"/>
          <w:kern w:val="21"/>
          <w:sz w:val="32"/>
          <w:szCs w:val="32"/>
          <w:lang w:val="en-US" w:eastAsia="zh-CN"/>
        </w:rPr>
        <w:t>三是加强学法普法用法</w:t>
      </w:r>
      <w:r>
        <w:rPr>
          <w:rFonts w:hint="default" w:ascii="Times New Roman" w:hAnsi="Times New Roman" w:eastAsia="仿宋_GB2312" w:cs="Times New Roman"/>
          <w:spacing w:val="0"/>
          <w:kern w:val="21"/>
          <w:sz w:val="32"/>
          <w:szCs w:val="32"/>
          <w:lang w:val="en-US" w:eastAsia="zh-CN"/>
        </w:rPr>
        <w:t>。</w:t>
      </w:r>
      <w:r>
        <w:rPr>
          <w:rFonts w:hint="default" w:ascii="Times New Roman" w:hAnsi="Times New Roman" w:eastAsia="仿宋_GB2312" w:cs="Times New Roman"/>
          <w:sz w:val="32"/>
          <w:szCs w:val="32"/>
          <w:lang w:val="en-US" w:eastAsia="zh-CN"/>
        </w:rPr>
        <w:t>采取领导干部带头学习、行业部门执法</w:t>
      </w:r>
      <w:r>
        <w:rPr>
          <w:rFonts w:hint="eastAsia" w:ascii="Times New Roman" w:hAnsi="Times New Roman" w:eastAsia="仿宋_GB2312" w:cs="Times New Roman"/>
          <w:sz w:val="32"/>
          <w:szCs w:val="32"/>
          <w:lang w:val="en-US" w:eastAsia="zh-CN"/>
        </w:rPr>
        <w:t>与</w:t>
      </w:r>
      <w:bookmarkStart w:id="0" w:name="_GoBack"/>
      <w:bookmarkEnd w:id="0"/>
      <w:r>
        <w:rPr>
          <w:rFonts w:hint="default" w:ascii="Times New Roman" w:hAnsi="Times New Roman" w:eastAsia="仿宋_GB2312" w:cs="Times New Roman"/>
          <w:sz w:val="32"/>
          <w:szCs w:val="32"/>
          <w:lang w:val="en-US" w:eastAsia="zh-CN"/>
        </w:rPr>
        <w:t>普法同步推进、企业集中培训等多种形式，实现学法、普法与执法的有机融合。今年以来，中站区应急管理局主要负责人通过召开局党委会、专题传达学习了新修订后的《河南省行政规范性文件管理办法》；应急局全体干部职工积极参与《应急管理干部应知应会党内法规和国家法律网上专题培训班》网络课程学习，以及《中华人民共和国突发事件应对法》专题培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同时，印发了51项《重大事故隐患判定标准汇编》，督促指导生产经营单位将学好用好重大事故隐患判定标准纳入事故隐患排查治理制度，常态化开展企业自查，各企事业单位共开展重大事故隐患判定标准提升行动宣贯次数373次，宣贯培训人数21298人次。</w:t>
      </w:r>
    </w:p>
    <w:p w14:paraId="7B1CF574">
      <w:pPr>
        <w:pStyle w:val="5"/>
        <w:keepNext w:val="0"/>
        <w:keepLines w:val="0"/>
        <w:pageBreakBefore w:val="0"/>
        <w:widowControl w:val="0"/>
        <w:kinsoku/>
        <w:wordWrap/>
        <w:overflowPunct/>
        <w:topLinePunct w:val="0"/>
        <w:autoSpaceDE/>
        <w:autoSpaceDN/>
        <w:bidi w:val="0"/>
        <w:adjustRightInd/>
        <w:snapToGrid/>
        <w:spacing w:after="0" w:afterLines="0" w:line="579"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2025年执法工作</w:t>
      </w:r>
      <w:r>
        <w:rPr>
          <w:rFonts w:hint="default" w:ascii="Times New Roman" w:hAnsi="Times New Roman" w:eastAsia="黑体" w:cs="Times New Roman"/>
          <w:sz w:val="32"/>
          <w:szCs w:val="32"/>
          <w:lang w:val="en-US" w:eastAsia="zh-CN"/>
        </w:rPr>
        <w:t>打算</w:t>
      </w:r>
    </w:p>
    <w:p w14:paraId="3E2181E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（一）壮大执法力量。</w:t>
      </w:r>
      <w:r>
        <w:rPr>
          <w:rFonts w:hint="default" w:ascii="Times New Roman" w:hAnsi="Times New Roman" w:eastAsia="仿宋_GB2312" w:cs="Times New Roman"/>
          <w:sz w:val="32"/>
          <w:szCs w:val="32"/>
          <w:lang w:val="en-US" w:eastAsia="zh-CN"/>
        </w:rPr>
        <w:t>保障依法履职所需的执法装备、经费，</w:t>
      </w:r>
      <w:r>
        <w:rPr>
          <w:rFonts w:hint="eastAsia" w:ascii="Times New Roman" w:hAnsi="Times New Roman" w:eastAsia="仿宋_GB2312" w:cs="Times New Roman"/>
          <w:sz w:val="32"/>
          <w:szCs w:val="32"/>
          <w:lang w:val="en-US" w:eastAsia="zh-CN"/>
        </w:rPr>
        <w:t>按要求</w:t>
      </w:r>
      <w:r>
        <w:rPr>
          <w:rFonts w:hint="default" w:ascii="Times New Roman" w:hAnsi="Times New Roman" w:eastAsia="仿宋_GB2312" w:cs="Times New Roman"/>
          <w:sz w:val="32"/>
          <w:szCs w:val="32"/>
          <w:lang w:val="en-US" w:eastAsia="zh-CN"/>
        </w:rPr>
        <w:t>积极争取执法车辆、移动执法装备等采购和使用，提高行政执法装备条件和充实执法队伍，规范执法行为，提升行政执法工作水平。</w:t>
      </w:r>
    </w:p>
    <w:p w14:paraId="3BF9B99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（二）加大执法监督力度</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2025年，计划对企业进行全覆盖检查，列入执法检查计划企业173家，其中，化工企业99家（含无仓储经营53家），工贸企业74家。涉及重大危险源、重点监管危化工艺的企业1年检查3次，其他危化生产、仓储经营企业1年检查2次；一般化工企业、无仓储危化经营企业和工贸企业1年检查1次。我局将</w:t>
      </w:r>
      <w:r>
        <w:rPr>
          <w:rFonts w:hint="default" w:ascii="Times New Roman" w:hAnsi="Times New Roman" w:eastAsia="仿宋_GB2312" w:cs="Times New Roman"/>
          <w:color w:val="auto"/>
          <w:sz w:val="32"/>
          <w:szCs w:val="32"/>
          <w:lang w:val="en-US" w:eastAsia="zh-CN"/>
        </w:rPr>
        <w:t>以强化企业安全生产主体责任落实为重点，突出重点行业、重点企业，深入开展年度安全生产监督检查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严格落实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隐患就是事故、事故就要处理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要求，采取推行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双随机、一公开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监管等方式，充分运用行政处罚、行刑衔接等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组合拳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，对问题突出的企业在严厉处罚的基础上要进行通报、警示曝光，提高设施企业违法违规的社会和经济成本，形成强大的执法威慑力。</w:t>
      </w:r>
    </w:p>
    <w:p w14:paraId="50DB4979">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pPr>
      <w:r>
        <w:rPr>
          <w:rFonts w:hint="default" w:ascii="Times New Roman" w:hAnsi="Times New Roman" w:eastAsia="楷体_GB2312" w:cs="Times New Roman"/>
          <w:sz w:val="32"/>
          <w:szCs w:val="32"/>
          <w:lang w:val="en-US" w:eastAsia="zh-CN"/>
        </w:rPr>
        <w:t>（三）提升行政执法能力针对性和专业性</w:t>
      </w:r>
      <w:r>
        <w:rPr>
          <w:rFonts w:hint="default" w:ascii="Times New Roman" w:hAnsi="Times New Roman" w:eastAsia="仿宋_GB2312" w:cs="Times New Roman"/>
          <w:sz w:val="32"/>
          <w:szCs w:val="32"/>
          <w:lang w:val="en-US" w:eastAsia="zh-CN"/>
        </w:rPr>
        <w:t>。通过专题业务培训、以案释法、组织讨论、邀请专家授课等多种形式，加强执法人员法律知识、业务技能等方面的培训，</w:t>
      </w:r>
      <w:r>
        <w:rPr>
          <w:rFonts w:hint="eastAsia" w:ascii="Times New Roman" w:hAnsi="Times New Roman" w:eastAsia="仿宋_GB2312" w:cs="Times New Roman"/>
          <w:sz w:val="32"/>
          <w:szCs w:val="32"/>
          <w:lang w:val="en-US" w:eastAsia="zh-CN"/>
        </w:rPr>
        <w:t>鼓励执法人员积极学习安全生产法律法规，参加注册安全工程师考试，取得执业资格证书，</w:t>
      </w:r>
      <w:r>
        <w:rPr>
          <w:rFonts w:hint="default" w:ascii="Times New Roman" w:hAnsi="Times New Roman" w:eastAsia="仿宋_GB2312" w:cs="Times New Roman"/>
          <w:sz w:val="32"/>
          <w:szCs w:val="32"/>
          <w:lang w:val="en-US" w:eastAsia="zh-CN"/>
        </w:rPr>
        <w:t>不断提高执法人员</w:t>
      </w:r>
      <w:r>
        <w:rPr>
          <w:rFonts w:hint="eastAsia" w:ascii="Times New Roman" w:hAnsi="Times New Roman" w:eastAsia="仿宋_GB2312" w:cs="Times New Roman"/>
          <w:sz w:val="32"/>
          <w:szCs w:val="32"/>
          <w:lang w:val="en-US" w:eastAsia="zh-CN"/>
        </w:rPr>
        <w:t>专业</w:t>
      </w:r>
      <w:r>
        <w:rPr>
          <w:rFonts w:hint="default" w:ascii="Times New Roman" w:hAnsi="Times New Roman" w:eastAsia="仿宋_GB2312" w:cs="Times New Roman"/>
          <w:sz w:val="32"/>
          <w:szCs w:val="32"/>
          <w:lang w:val="en-US" w:eastAsia="zh-CN"/>
        </w:rPr>
        <w:t>素质。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C07C5"/>
    <w:rsid w:val="19524AC9"/>
    <w:rsid w:val="311F308B"/>
    <w:rsid w:val="53AE7393"/>
    <w:rsid w:val="58377840"/>
    <w:rsid w:val="60F1791A"/>
    <w:rsid w:val="65B31A18"/>
    <w:rsid w:val="703F2AA5"/>
    <w:rsid w:val="7CDB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uiPriority w:val="0"/>
    <w:pPr>
      <w:spacing w:after="120" w:afterLines="0" w:afterAutospacing="0"/>
      <w:ind w:left="420" w:leftChars="200"/>
    </w:pPr>
  </w:style>
  <w:style w:type="paragraph" w:styleId="4">
    <w:name w:val="Body Text First Indent"/>
    <w:next w:val="2"/>
    <w:qFormat/>
    <w:uiPriority w:val="0"/>
    <w:pPr>
      <w:widowControl w:val="0"/>
      <w:suppressAutoHyphens/>
      <w:bidi w:val="0"/>
      <w:spacing w:before="40" w:after="40" w:line="600" w:lineRule="exact"/>
      <w:ind w:firstLine="420"/>
      <w:jc w:val="both"/>
    </w:pPr>
    <w:rPr>
      <w:rFonts w:ascii="Times New Roman" w:hAnsi="Times New Roman" w:eastAsia="宋体" w:cs="Times New Roman"/>
      <w:b/>
      <w:bCs/>
      <w:color w:val="auto"/>
      <w:kern w:val="2"/>
      <w:sz w:val="30"/>
      <w:szCs w:val="22"/>
      <w:lang w:val="en-US" w:eastAsia="zh-CN" w:bidi="ar-SA"/>
    </w:rPr>
  </w:style>
  <w:style w:type="paragraph" w:styleId="5">
    <w:name w:val="Body Text"/>
    <w:basedOn w:val="1"/>
    <w:next w:val="1"/>
    <w:qFormat/>
    <w:uiPriority w:val="0"/>
    <w:pPr>
      <w:spacing w:after="120" w:afterLines="0" w:afterAutospacing="0"/>
    </w:pPr>
  </w:style>
  <w:style w:type="paragraph" w:customStyle="1" w:styleId="8">
    <w:name w:val="Default"/>
    <w:qFormat/>
    <w:uiPriority w:val="99"/>
    <w:pPr>
      <w:widowControl w:val="0"/>
      <w:autoSpaceDE w:val="0"/>
      <w:autoSpaceDN w:val="0"/>
      <w:adjustRightInd w:val="0"/>
    </w:pPr>
    <w:rPr>
      <w:rFonts w:ascii="仿宋_GB2312" w:hAnsi="Times New Roman" w:eastAsia="仿宋_GB2312"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2435</Words>
  <Characters>2552</Characters>
  <Lines>0</Lines>
  <Paragraphs>0</Paragraphs>
  <TotalTime>2</TotalTime>
  <ScaleCrop>false</ScaleCrop>
  <LinksUpToDate>false</LinksUpToDate>
  <CharactersWithSpaces>2552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2023-02-22T06:32:00Z</dcterms:created>
  <dc:creator>103-pc</dc:creator>
  <cp:lastModifiedBy>欣雨王</cp:lastModifiedBy>
  <dcterms:modified xsi:type="dcterms:W3CDTF">2025-04-01T01:55:56Z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9FDFB7C793884799980C6FDD6682C097</vt:lpwstr>
  </property>
  <property fmtid="{D5CDD505-2E9C-101B-9397-08002B2CF9AE}" pid="4" name="KSOTemplateDocerSaveRecord">
    <vt:lpwstr>eyJoZGlkIjoiNjgwMzIwZjZkZThhMTE3YzZmNjU5ZGM4ZmI3ODRkYjQiLCJ1c2VySWQiOiIyNjU2MDcyOTMifQ==</vt:lpwstr>
  </property>
</Properties>
</file>