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ind w:firstLine="783" w:firstLineChars="150"/>
        <w:rPr>
          <w:rFonts w:ascii="宋体" w:cs="宋体"/>
          <w:b/>
          <w:bCs/>
          <w:sz w:val="52"/>
          <w:szCs w:val="52"/>
        </w:rPr>
      </w:pPr>
    </w:p>
    <w:p>
      <w:pPr>
        <w:kinsoku w:val="0"/>
        <w:overflowPunct w:val="0"/>
        <w:ind w:firstLine="783" w:firstLineChars="150"/>
        <w:rPr>
          <w:rFonts w:ascii="宋体" w:cs="宋体"/>
          <w:b/>
          <w:bCs/>
          <w:sz w:val="52"/>
          <w:szCs w:val="52"/>
        </w:rPr>
      </w:pPr>
    </w:p>
    <w:p>
      <w:pPr>
        <w:kinsoku w:val="0"/>
        <w:overflowPunct w:val="0"/>
        <w:ind w:firstLine="783" w:firstLineChars="150"/>
        <w:rPr>
          <w:rFonts w:ascii="宋体" w:cs="宋体"/>
          <w:b/>
          <w:bCs/>
          <w:sz w:val="52"/>
          <w:szCs w:val="52"/>
        </w:rPr>
      </w:pPr>
    </w:p>
    <w:p>
      <w:pPr>
        <w:kinsoku w:val="0"/>
        <w:overflowPunct w:val="0"/>
        <w:ind w:firstLine="783" w:firstLineChars="150"/>
        <w:rPr>
          <w:rFonts w:ascii="宋体" w:cs="宋体"/>
          <w:b/>
          <w:bCs/>
          <w:sz w:val="52"/>
          <w:szCs w:val="52"/>
        </w:rPr>
      </w:pPr>
    </w:p>
    <w:p>
      <w:pPr>
        <w:kinsoku w:val="0"/>
        <w:overflowPunct w:val="0"/>
        <w:ind w:firstLine="783" w:firstLineChars="150"/>
        <w:rPr>
          <w:rFonts w:ascii="宋体" w:cs="宋体"/>
          <w:b/>
          <w:bCs/>
          <w:sz w:val="52"/>
          <w:szCs w:val="52"/>
        </w:rPr>
      </w:pPr>
      <w:r>
        <w:rPr>
          <w:rFonts w:hint="eastAsia" w:ascii="宋体" w:hAnsi="宋体" w:cs="宋体"/>
          <w:b/>
          <w:bCs/>
          <w:sz w:val="52"/>
          <w:szCs w:val="52"/>
        </w:rPr>
        <w:t>焦作西部产业集聚区管理委员会</w:t>
      </w:r>
    </w:p>
    <w:p>
      <w:pPr>
        <w:kinsoku w:val="0"/>
        <w:overflowPunct w:val="0"/>
        <w:jc w:val="center"/>
        <w:rPr>
          <w:rFonts w:ascii="宋体" w:cs="宋体"/>
          <w:b/>
          <w:bCs/>
          <w:sz w:val="52"/>
          <w:szCs w:val="52"/>
        </w:rPr>
      </w:pPr>
    </w:p>
    <w:p>
      <w:pPr>
        <w:kinsoku w:val="0"/>
        <w:overflowPunct w:val="0"/>
        <w:jc w:val="center"/>
        <w:rPr>
          <w:rFonts w:ascii="宋体" w:cs="宋体"/>
          <w:sz w:val="52"/>
          <w:szCs w:val="52"/>
        </w:rPr>
      </w:pPr>
      <w:r>
        <w:rPr>
          <w:rFonts w:ascii="宋体" w:hAnsi="宋体" w:cs="宋体"/>
          <w:b/>
          <w:bCs/>
          <w:sz w:val="52"/>
          <w:szCs w:val="52"/>
        </w:rPr>
        <w:t>2016</w:t>
      </w:r>
      <w:r>
        <w:rPr>
          <w:rFonts w:hint="eastAsia" w:ascii="宋体" w:hAnsi="宋体" w:cs="宋体"/>
          <w:b/>
          <w:bCs/>
          <w:sz w:val="52"/>
          <w:szCs w:val="52"/>
        </w:rPr>
        <w:t>年部门决算</w:t>
      </w:r>
    </w:p>
    <w:p>
      <w:pPr>
        <w:kinsoku w:val="0"/>
        <w:overflowPunct w:val="0"/>
        <w:jc w:val="center"/>
        <w:rPr>
          <w:rFonts w:ascii="宋体" w:cs="宋体"/>
          <w:sz w:val="52"/>
          <w:szCs w:val="52"/>
        </w:rPr>
      </w:pPr>
    </w:p>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52"/>
          <w:szCs w:val="52"/>
        </w:rPr>
      </w:pPr>
    </w:p>
    <w:p>
      <w:pPr>
        <w:jc w:val="center"/>
        <w:rPr>
          <w:rFonts w:ascii="方正小标宋简体" w:hAnsi="方正小标宋简体" w:eastAsia="方正小标宋简体" w:cs="Times New Roman"/>
          <w:sz w:val="52"/>
          <w:szCs w:val="52"/>
        </w:rPr>
      </w:pPr>
    </w:p>
    <w:p>
      <w:pPr>
        <w:rPr>
          <w:rFonts w:ascii="仿宋_GB2312" w:hAnsi="仿宋_GB2312" w:eastAsia="仿宋_GB2312" w:cs="Times New Roman"/>
          <w:sz w:val="44"/>
          <w:szCs w:val="44"/>
        </w:rPr>
        <w:sectPr>
          <w:pgSz w:w="11906" w:h="16838"/>
          <w:pgMar w:top="1440" w:right="1531" w:bottom="1440" w:left="1588" w:header="851" w:footer="992" w:gutter="0"/>
          <w:pgNumType w:fmt="numberInDash" w:start="1"/>
          <w:cols w:space="0" w:num="1"/>
          <w:docGrid w:type="lines" w:linePitch="317" w:charSpace="0"/>
        </w:sectPr>
      </w:pPr>
    </w:p>
    <w:p>
      <w:pPr>
        <w:jc w:val="center"/>
        <w:rPr>
          <w:rFonts w:ascii="黑体" w:hAnsi="黑体" w:eastAsia="黑体" w:cs="黑体"/>
          <w:sz w:val="36"/>
          <w:szCs w:val="36"/>
        </w:rPr>
      </w:pPr>
      <w:r>
        <w:rPr>
          <w:rFonts w:hint="eastAsia" w:ascii="黑体" w:hAnsi="黑体" w:eastAsia="黑体" w:cs="黑体"/>
          <w:sz w:val="36"/>
          <w:szCs w:val="36"/>
        </w:rPr>
        <w:t>目　　录</w:t>
      </w:r>
      <w:r>
        <w:rPr>
          <w:rFonts w:ascii="黑体" w:hAnsi="黑体" w:eastAsia="黑体" w:cs="黑体"/>
          <w:sz w:val="36"/>
          <w:szCs w:val="36"/>
        </w:rPr>
        <w:t xml:space="preserve"> </w:t>
      </w:r>
    </w:p>
    <w:p>
      <w:pPr>
        <w:jc w:val="center"/>
        <w:rPr>
          <w:rFonts w:ascii="黑体" w:hAnsi="黑体" w:eastAsia="黑体" w:cs="Times New Roman"/>
          <w:sz w:val="36"/>
          <w:szCs w:val="36"/>
        </w:rPr>
      </w:pPr>
    </w:p>
    <w:p>
      <w:pPr>
        <w:kinsoku w:val="0"/>
        <w:overflowPunct w:val="0"/>
        <w:spacing w:line="390" w:lineRule="auto"/>
        <w:ind w:right="5529"/>
        <w:jc w:val="center"/>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pacing w:val="-36"/>
          <w:sz w:val="32"/>
          <w:szCs w:val="32"/>
        </w:rPr>
        <w:t xml:space="preserve">  </w:t>
      </w:r>
      <w:r>
        <w:rPr>
          <w:rFonts w:hint="eastAsia" w:ascii="黑体" w:hAnsi="黑体" w:eastAsia="黑体" w:cs="黑体"/>
          <w:sz w:val="32"/>
          <w:szCs w:val="32"/>
        </w:rPr>
        <w:t>集聚区概况</w:t>
      </w:r>
      <w:r>
        <w:rPr>
          <w:rFonts w:ascii="黑体" w:hAnsi="黑体" w:eastAsia="黑体" w:cs="黑体"/>
          <w:w w:val="99"/>
          <w:sz w:val="32"/>
          <w:szCs w:val="32"/>
        </w:rPr>
        <w:t xml:space="preserve"> </w:t>
      </w:r>
    </w:p>
    <w:p>
      <w:pPr>
        <w:kinsoku w:val="0"/>
        <w:overflowPunct w:val="0"/>
        <w:spacing w:line="200" w:lineRule="exact"/>
        <w:rPr>
          <w:sz w:val="32"/>
          <w:szCs w:val="32"/>
        </w:rPr>
      </w:pPr>
    </w:p>
    <w:p>
      <w:pPr>
        <w:kinsoku w:val="0"/>
        <w:overflowPunct w:val="0"/>
        <w:ind w:left="101"/>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w:t>
      </w:r>
      <w:r>
        <w:rPr>
          <w:rFonts w:hint="eastAsia" w:ascii="黑体" w:hAnsi="黑体" w:eastAsia="黑体" w:cs="黑体"/>
          <w:sz w:val="32"/>
          <w:szCs w:val="32"/>
        </w:rPr>
        <w:t>集聚区</w:t>
      </w:r>
      <w:r>
        <w:rPr>
          <w:rFonts w:ascii="黑体" w:hAnsi="黑体" w:eastAsia="黑体" w:cs="黑体"/>
          <w:spacing w:val="-32"/>
          <w:sz w:val="32"/>
          <w:szCs w:val="32"/>
        </w:rPr>
        <w:t xml:space="preserve"> </w:t>
      </w:r>
      <w:r>
        <w:rPr>
          <w:rFonts w:ascii="黑体" w:hAnsi="黑体" w:eastAsia="黑体" w:cs="黑体"/>
          <w:sz w:val="32"/>
          <w:szCs w:val="32"/>
        </w:rPr>
        <w:t>2016</w:t>
      </w:r>
      <w:r>
        <w:rPr>
          <w:rFonts w:hint="eastAsia" w:ascii="黑体" w:hAnsi="黑体" w:eastAsia="黑体" w:cs="黑体"/>
          <w:sz w:val="32"/>
          <w:szCs w:val="32"/>
        </w:rPr>
        <w:t>年度部门决算表</w:t>
      </w:r>
    </w:p>
    <w:p>
      <w:pPr>
        <w:jc w:val="left"/>
        <w:rPr>
          <w:rFonts w:ascii="宋体" w:cs="Times New Roman"/>
          <w:sz w:val="32"/>
          <w:szCs w:val="32"/>
        </w:rPr>
      </w:pPr>
      <w:r>
        <w:rPr>
          <w:rFonts w:hint="eastAsia" w:ascii="宋体" w:hAnsi="宋体" w:cs="宋体"/>
          <w:sz w:val="32"/>
          <w:szCs w:val="32"/>
        </w:rPr>
        <w:t>一、收入支出决算总表</w:t>
      </w:r>
    </w:p>
    <w:p>
      <w:pPr>
        <w:jc w:val="left"/>
        <w:rPr>
          <w:rFonts w:ascii="宋体" w:cs="Times New Roman"/>
          <w:sz w:val="32"/>
          <w:szCs w:val="32"/>
        </w:rPr>
      </w:pPr>
      <w:r>
        <w:rPr>
          <w:rFonts w:hint="eastAsia" w:ascii="宋体" w:hAnsi="宋体" w:cs="宋体"/>
          <w:sz w:val="32"/>
          <w:szCs w:val="32"/>
        </w:rPr>
        <w:t>二、收入决算表</w:t>
      </w:r>
    </w:p>
    <w:p>
      <w:pPr>
        <w:jc w:val="left"/>
        <w:rPr>
          <w:rFonts w:ascii="宋体" w:cs="Times New Roman"/>
          <w:sz w:val="32"/>
          <w:szCs w:val="32"/>
        </w:rPr>
      </w:pPr>
      <w:r>
        <w:rPr>
          <w:rFonts w:hint="eastAsia" w:ascii="宋体" w:hAnsi="宋体" w:cs="宋体"/>
          <w:sz w:val="32"/>
          <w:szCs w:val="32"/>
        </w:rPr>
        <w:t>三、支出决算表</w:t>
      </w:r>
    </w:p>
    <w:p>
      <w:pPr>
        <w:jc w:val="left"/>
        <w:rPr>
          <w:rFonts w:ascii="宋体" w:cs="Times New Roman"/>
          <w:sz w:val="32"/>
          <w:szCs w:val="32"/>
        </w:rPr>
      </w:pPr>
      <w:r>
        <w:rPr>
          <w:rFonts w:hint="eastAsia" w:ascii="宋体" w:hAnsi="宋体" w:cs="宋体"/>
          <w:sz w:val="32"/>
          <w:szCs w:val="32"/>
        </w:rPr>
        <w:t>四、财政拨款收入支出决算总表</w:t>
      </w:r>
    </w:p>
    <w:p>
      <w:pPr>
        <w:jc w:val="left"/>
        <w:rPr>
          <w:rFonts w:ascii="宋体" w:cs="Times New Roman"/>
          <w:sz w:val="32"/>
          <w:szCs w:val="32"/>
        </w:rPr>
      </w:pPr>
      <w:r>
        <w:rPr>
          <w:rFonts w:hint="eastAsia" w:ascii="宋体" w:hAnsi="宋体" w:cs="宋体"/>
          <w:sz w:val="32"/>
          <w:szCs w:val="32"/>
        </w:rPr>
        <w:t>五、一般公共预算财政拨款支出决算表</w:t>
      </w:r>
    </w:p>
    <w:p>
      <w:pPr>
        <w:jc w:val="left"/>
        <w:rPr>
          <w:rFonts w:ascii="宋体" w:cs="Times New Roman"/>
          <w:sz w:val="32"/>
          <w:szCs w:val="32"/>
        </w:rPr>
      </w:pPr>
      <w:r>
        <w:rPr>
          <w:rFonts w:hint="eastAsia" w:ascii="宋体" w:hAnsi="宋体" w:cs="宋体"/>
          <w:sz w:val="32"/>
          <w:szCs w:val="32"/>
        </w:rPr>
        <w:t>六、一般公共预算财政拨款基本支出决算表</w:t>
      </w:r>
    </w:p>
    <w:p>
      <w:pPr>
        <w:jc w:val="left"/>
        <w:rPr>
          <w:rFonts w:ascii="宋体" w:cs="Times New Roman"/>
          <w:sz w:val="32"/>
          <w:szCs w:val="32"/>
        </w:rPr>
      </w:pPr>
      <w:r>
        <w:rPr>
          <w:rFonts w:hint="eastAsia" w:ascii="宋体" w:hAnsi="宋体" w:cs="宋体"/>
          <w:sz w:val="32"/>
          <w:szCs w:val="32"/>
        </w:rPr>
        <w:t>七、一般公共预算财政拨款“三公”经费支出决算表</w:t>
      </w:r>
    </w:p>
    <w:p>
      <w:pPr>
        <w:jc w:val="left"/>
        <w:rPr>
          <w:rFonts w:ascii="宋体" w:cs="Times New Roman"/>
          <w:sz w:val="32"/>
          <w:szCs w:val="32"/>
        </w:rPr>
      </w:pPr>
      <w:r>
        <w:rPr>
          <w:rFonts w:hint="eastAsia" w:ascii="宋体" w:hAnsi="宋体" w:cs="宋体"/>
          <w:sz w:val="32"/>
          <w:szCs w:val="32"/>
        </w:rPr>
        <w:t>八、政府性基金预算财政拨款收入支出决算表</w:t>
      </w:r>
    </w:p>
    <w:p>
      <w:pPr>
        <w:jc w:val="left"/>
        <w:rPr>
          <w:rFonts w:ascii="黑体" w:hAnsi="黑体" w:eastAsia="黑体" w:cs="Times New Roman"/>
          <w:sz w:val="32"/>
          <w:szCs w:val="32"/>
        </w:rPr>
        <w:sectPr>
          <w:footerReference r:id="rId3" w:type="default"/>
          <w:pgSz w:w="11906" w:h="16838"/>
          <w:pgMar w:top="1440" w:right="1531" w:bottom="1440" w:left="1587" w:header="850" w:footer="992" w:gutter="0"/>
          <w:pgNumType w:fmt="numberInDash"/>
          <w:cols w:space="0" w:num="1"/>
          <w:docGrid w:type="lines" w:linePitch="317" w:charSpace="0"/>
        </w:sectPr>
      </w:pPr>
      <w:r>
        <w:rPr>
          <w:rFonts w:hint="eastAsia" w:ascii="黑体" w:hAnsi="黑体" w:eastAsia="黑体" w:cs="黑体"/>
          <w:sz w:val="32"/>
          <w:szCs w:val="32"/>
        </w:rPr>
        <w:t>第三部分　集聚区</w:t>
      </w:r>
      <w:r>
        <w:rPr>
          <w:rFonts w:ascii="黑体" w:hAnsi="黑体" w:eastAsia="黑体" w:cs="黑体"/>
          <w:sz w:val="32"/>
          <w:szCs w:val="32"/>
        </w:rPr>
        <w:t>2016</w:t>
      </w:r>
      <w:r>
        <w:rPr>
          <w:rFonts w:hint="eastAsia" w:ascii="黑体" w:hAnsi="黑体" w:eastAsia="黑体" w:cs="黑体"/>
          <w:sz w:val="32"/>
          <w:szCs w:val="32"/>
        </w:rPr>
        <w:t>年度部门决算情况说明</w:t>
      </w: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pStyle w:val="2"/>
        <w:tabs>
          <w:tab w:val="left" w:pos="4199"/>
        </w:tabs>
        <w:kinsoku w:val="0"/>
        <w:overflowPunct w:val="0"/>
        <w:spacing w:line="820" w:lineRule="exact"/>
        <w:ind w:left="0"/>
        <w:jc w:val="center"/>
        <w:rPr>
          <w:sz w:val="52"/>
          <w:szCs w:val="52"/>
        </w:rPr>
      </w:pPr>
      <w:r>
        <w:rPr>
          <w:rFonts w:hint="eastAsia"/>
          <w:sz w:val="52"/>
          <w:szCs w:val="52"/>
        </w:rPr>
        <w:t>第一部分</w:t>
      </w:r>
    </w:p>
    <w:p>
      <w:pPr>
        <w:pStyle w:val="2"/>
        <w:tabs>
          <w:tab w:val="left" w:pos="4199"/>
        </w:tabs>
        <w:kinsoku w:val="0"/>
        <w:overflowPunct w:val="0"/>
        <w:spacing w:line="820" w:lineRule="exact"/>
        <w:ind w:left="0"/>
        <w:jc w:val="center"/>
        <w:rPr>
          <w:sz w:val="52"/>
          <w:szCs w:val="52"/>
        </w:rPr>
      </w:pPr>
      <w:r>
        <w:rPr>
          <w:sz w:val="52"/>
          <w:szCs w:val="52"/>
        </w:rPr>
        <w:t xml:space="preserve"> </w:t>
      </w:r>
      <w:r>
        <w:rPr>
          <w:rFonts w:hint="eastAsia"/>
          <w:sz w:val="52"/>
          <w:szCs w:val="52"/>
        </w:rPr>
        <w:t>焦作西部产业集聚区管委会概况</w:t>
      </w:r>
    </w:p>
    <w:p>
      <w:pPr>
        <w:pStyle w:val="2"/>
        <w:tabs>
          <w:tab w:val="left" w:pos="4199"/>
        </w:tabs>
        <w:kinsoku w:val="0"/>
        <w:overflowPunct w:val="0"/>
        <w:spacing w:line="820" w:lineRule="exact"/>
        <w:ind w:left="0"/>
        <w:jc w:val="center"/>
        <w:rPr>
          <w:sz w:val="52"/>
          <w:szCs w:val="52"/>
        </w:rPr>
      </w:pPr>
    </w:p>
    <w:p>
      <w:pPr>
        <w:pStyle w:val="2"/>
        <w:tabs>
          <w:tab w:val="left" w:pos="4199"/>
        </w:tabs>
        <w:kinsoku w:val="0"/>
        <w:overflowPunct w:val="0"/>
        <w:spacing w:line="820" w:lineRule="exact"/>
        <w:ind w:left="0"/>
        <w:jc w:val="center"/>
        <w:rPr>
          <w:sz w:val="52"/>
          <w:szCs w:val="52"/>
        </w:rPr>
      </w:pPr>
    </w:p>
    <w:p>
      <w:pPr>
        <w:pStyle w:val="2"/>
        <w:tabs>
          <w:tab w:val="left" w:pos="4199"/>
        </w:tabs>
        <w:kinsoku w:val="0"/>
        <w:overflowPunct w:val="0"/>
        <w:spacing w:line="820" w:lineRule="exact"/>
        <w:ind w:left="0"/>
        <w:jc w:val="center"/>
        <w:rPr>
          <w:sz w:val="52"/>
          <w:szCs w:val="52"/>
        </w:rPr>
      </w:pPr>
    </w:p>
    <w:p>
      <w:pPr>
        <w:pStyle w:val="2"/>
        <w:tabs>
          <w:tab w:val="left" w:pos="4199"/>
        </w:tabs>
        <w:kinsoku w:val="0"/>
        <w:overflowPunct w:val="0"/>
        <w:spacing w:line="820" w:lineRule="exact"/>
        <w:ind w:left="0"/>
        <w:jc w:val="center"/>
        <w:rPr>
          <w:sz w:val="52"/>
          <w:szCs w:val="52"/>
        </w:rPr>
      </w:pPr>
    </w:p>
    <w:p>
      <w:pPr>
        <w:pStyle w:val="2"/>
        <w:tabs>
          <w:tab w:val="left" w:pos="4199"/>
        </w:tabs>
        <w:kinsoku w:val="0"/>
        <w:overflowPunct w:val="0"/>
        <w:spacing w:line="820" w:lineRule="exact"/>
        <w:ind w:left="0"/>
        <w:jc w:val="center"/>
        <w:rPr>
          <w:sz w:val="52"/>
          <w:szCs w:val="52"/>
        </w:rPr>
      </w:pPr>
    </w:p>
    <w:p>
      <w:pPr>
        <w:pStyle w:val="2"/>
        <w:tabs>
          <w:tab w:val="left" w:pos="4199"/>
        </w:tabs>
        <w:kinsoku w:val="0"/>
        <w:overflowPunct w:val="0"/>
        <w:spacing w:line="820" w:lineRule="exact"/>
        <w:ind w:left="0"/>
        <w:jc w:val="center"/>
        <w:rPr>
          <w:sz w:val="52"/>
          <w:szCs w:val="52"/>
        </w:rPr>
      </w:pPr>
    </w:p>
    <w:p>
      <w:pPr>
        <w:pStyle w:val="2"/>
        <w:tabs>
          <w:tab w:val="left" w:pos="4199"/>
        </w:tabs>
        <w:kinsoku w:val="0"/>
        <w:overflowPunct w:val="0"/>
        <w:spacing w:line="820" w:lineRule="exact"/>
        <w:ind w:left="0"/>
        <w:jc w:val="center"/>
        <w:rPr>
          <w:sz w:val="52"/>
          <w:szCs w:val="52"/>
        </w:rPr>
      </w:pPr>
    </w:p>
    <w:p>
      <w:pPr>
        <w:pStyle w:val="2"/>
        <w:tabs>
          <w:tab w:val="left" w:pos="4199"/>
        </w:tabs>
        <w:kinsoku w:val="0"/>
        <w:overflowPunct w:val="0"/>
        <w:spacing w:line="820" w:lineRule="exact"/>
        <w:ind w:left="0"/>
        <w:jc w:val="center"/>
        <w:rPr>
          <w:sz w:val="52"/>
          <w:szCs w:val="52"/>
        </w:rPr>
      </w:pPr>
    </w:p>
    <w:p>
      <w:pPr>
        <w:pStyle w:val="2"/>
        <w:tabs>
          <w:tab w:val="left" w:pos="4199"/>
        </w:tabs>
        <w:kinsoku w:val="0"/>
        <w:overflowPunct w:val="0"/>
        <w:spacing w:line="820" w:lineRule="exact"/>
        <w:ind w:left="0"/>
        <w:jc w:val="center"/>
        <w:rPr>
          <w:sz w:val="52"/>
          <w:szCs w:val="52"/>
        </w:rPr>
      </w:pPr>
    </w:p>
    <w:p>
      <w:pPr>
        <w:pStyle w:val="3"/>
        <w:spacing w:line="317" w:lineRule="auto"/>
        <w:ind w:left="0" w:right="276" w:firstLine="320" w:firstLineChars="100"/>
        <w:jc w:val="both"/>
        <w:rPr>
          <w:rFonts w:ascii="黑体" w:hAnsi="黑体" w:eastAsia="黑体"/>
        </w:rPr>
      </w:pPr>
      <w:r>
        <w:rPr>
          <w:rFonts w:hint="eastAsia" w:ascii="黑体" w:hAnsi="黑体" w:eastAsia="黑体"/>
        </w:rPr>
        <w:t>基本情况</w:t>
      </w:r>
    </w:p>
    <w:p>
      <w:pPr>
        <w:pStyle w:val="3"/>
        <w:spacing w:line="317" w:lineRule="auto"/>
        <w:ind w:left="0" w:right="276" w:firstLine="640" w:firstLineChars="200"/>
        <w:jc w:val="both"/>
      </w:pPr>
      <w:r>
        <w:rPr>
          <w:rFonts w:hint="eastAsia"/>
        </w:rPr>
        <w:t>焦作西部产业集聚区管委会事业全供编制</w:t>
      </w:r>
      <w:r>
        <w:t>35</w:t>
      </w:r>
      <w:r>
        <w:rPr>
          <w:rFonts w:hint="eastAsia"/>
        </w:rPr>
        <w:t>人，内设“一室五部”分别为：办公室、规划建设部、项目统计部、征迁安置部、企业服务部、综合协调部，其中领导职数均为</w:t>
      </w:r>
      <w:r>
        <w:t>1</w:t>
      </w:r>
      <w:r>
        <w:rPr>
          <w:rFonts w:hint="eastAsia"/>
        </w:rPr>
        <w:t>正</w:t>
      </w:r>
      <w:r>
        <w:t>1</w:t>
      </w:r>
      <w:r>
        <w:rPr>
          <w:rFonts w:hint="eastAsia"/>
        </w:rPr>
        <w:t>副，主要职责：</w:t>
      </w:r>
    </w:p>
    <w:p>
      <w:pPr>
        <w:pStyle w:val="3"/>
        <w:spacing w:line="317" w:lineRule="auto"/>
        <w:ind w:left="0" w:right="276" w:firstLine="640" w:firstLineChars="200"/>
        <w:jc w:val="both"/>
      </w:pPr>
      <w:r>
        <w:rPr>
          <w:rFonts w:hint="eastAsia"/>
        </w:rPr>
        <w:t>（一）负责指导监督入驻企业贯彻执行国家的方针、政策和法律、法规；</w:t>
      </w:r>
    </w:p>
    <w:p>
      <w:pPr>
        <w:pStyle w:val="3"/>
        <w:spacing w:line="317" w:lineRule="auto"/>
        <w:ind w:left="0" w:right="276" w:firstLine="640" w:firstLineChars="200"/>
        <w:jc w:val="both"/>
      </w:pPr>
      <w:r>
        <w:rPr>
          <w:rFonts w:hint="eastAsia"/>
        </w:rPr>
        <w:t>（二）负责编制实施产业集聚区的发展规划、产业政策及各项具体管理办法，经区政府批准后组织实施；</w:t>
      </w:r>
    </w:p>
    <w:p>
      <w:pPr>
        <w:pStyle w:val="3"/>
        <w:spacing w:line="317" w:lineRule="auto"/>
        <w:ind w:left="0" w:right="276" w:firstLine="640" w:firstLineChars="200"/>
        <w:jc w:val="both"/>
      </w:pPr>
      <w:r>
        <w:rPr>
          <w:rFonts w:hint="eastAsia"/>
        </w:rPr>
        <w:t>（三）负责产业集聚区各项基础设施、公共设施的规划、建设和管理；</w:t>
      </w:r>
    </w:p>
    <w:p>
      <w:pPr>
        <w:pStyle w:val="3"/>
        <w:spacing w:line="317" w:lineRule="auto"/>
        <w:ind w:left="0" w:right="276" w:firstLine="640" w:firstLineChars="200"/>
        <w:jc w:val="both"/>
      </w:pPr>
      <w:r>
        <w:rPr>
          <w:rFonts w:hint="eastAsia"/>
        </w:rPr>
        <w:t>（四）负责审核投资项目，对入驻产业集聚区的企业进行资质审验、项目审批，协助入驻企业办理项目所需手续，并按照规定权限进行备案、核准或上报；</w:t>
      </w:r>
    </w:p>
    <w:p>
      <w:pPr>
        <w:pStyle w:val="3"/>
        <w:spacing w:line="317" w:lineRule="auto"/>
        <w:ind w:left="0" w:right="276" w:firstLine="640" w:firstLineChars="200"/>
        <w:jc w:val="both"/>
      </w:pPr>
      <w:r>
        <w:rPr>
          <w:rFonts w:hint="eastAsia"/>
        </w:rPr>
        <w:t>（五）负责建立、管理投融资、土地收储、中小企业信用担保、人才等要素平台；</w:t>
      </w:r>
    </w:p>
    <w:p>
      <w:pPr>
        <w:pStyle w:val="3"/>
        <w:spacing w:line="317" w:lineRule="auto"/>
        <w:ind w:left="0" w:right="276" w:firstLine="640" w:firstLineChars="200"/>
        <w:jc w:val="both"/>
      </w:pPr>
      <w:r>
        <w:rPr>
          <w:rFonts w:hint="eastAsia"/>
        </w:rPr>
        <w:t>（六）负责对产业集聚区企业进行宏观指导、管理和协调，为产业集聚区入驻企业提供服务；</w:t>
      </w:r>
    </w:p>
    <w:p>
      <w:pPr>
        <w:pStyle w:val="3"/>
        <w:spacing w:line="317" w:lineRule="auto"/>
        <w:ind w:left="0" w:right="276" w:firstLine="640" w:firstLineChars="200"/>
        <w:jc w:val="both"/>
      </w:pPr>
      <w:r>
        <w:rPr>
          <w:rFonts w:hint="eastAsia"/>
        </w:rPr>
        <w:t>（七）负责协调区直有关部门做好产业集聚区内社会事务和征地拆迁安置等工作；</w:t>
      </w:r>
    </w:p>
    <w:p>
      <w:pPr>
        <w:pStyle w:val="3"/>
        <w:spacing w:line="317" w:lineRule="auto"/>
        <w:ind w:left="0" w:right="276" w:firstLine="640" w:firstLineChars="200"/>
        <w:jc w:val="both"/>
        <w:rPr>
          <w:rFonts w:hint="eastAsia"/>
        </w:rPr>
      </w:pPr>
      <w:r>
        <w:rPr>
          <w:rFonts w:hint="eastAsia"/>
        </w:rPr>
        <w:t>（八）承办区委、区政府交办的其他工作。</w:t>
      </w:r>
    </w:p>
    <w:p>
      <w:pPr>
        <w:pStyle w:val="3"/>
        <w:spacing w:line="317" w:lineRule="auto"/>
        <w:ind w:left="0" w:right="276" w:firstLine="640" w:firstLineChars="200"/>
        <w:jc w:val="both"/>
        <w:rPr>
          <w:rFonts w:hint="eastAsia" w:eastAsia="仿宋_GB2312"/>
          <w:lang w:eastAsia="zh-CN"/>
        </w:rPr>
      </w:pPr>
      <w:r>
        <w:rPr>
          <w:rFonts w:hint="eastAsia"/>
          <w:lang w:eastAsia="zh-CN"/>
        </w:rPr>
        <w:t>部门决算支出为本级支出汇总。</w:t>
      </w:r>
    </w:p>
    <w:p>
      <w:pPr>
        <w:pStyle w:val="3"/>
        <w:kinsoku w:val="0"/>
        <w:overflowPunct w:val="0"/>
        <w:spacing w:line="420" w:lineRule="exact"/>
        <w:ind w:left="0"/>
        <w:rPr>
          <w:rFonts w:ascii="黑体" w:hAnsi="黑体" w:eastAsia="黑体" w:cs="黑体"/>
        </w:rPr>
      </w:pPr>
    </w:p>
    <w:p>
      <w:pPr>
        <w:spacing w:line="360" w:lineRule="auto"/>
        <w:jc w:val="left"/>
        <w:rPr>
          <w:rFonts w:ascii="楷体_GB2312" w:hAnsi="楷体_GB2312" w:eastAsia="楷体_GB2312" w:cs="Times New Roman"/>
          <w:sz w:val="32"/>
          <w:szCs w:val="32"/>
        </w:rPr>
        <w:sectPr>
          <w:footerReference r:id="rId4" w:type="default"/>
          <w:pgSz w:w="11906" w:h="16838"/>
          <w:pgMar w:top="1440" w:right="1531" w:bottom="1440" w:left="1587" w:header="850" w:footer="992" w:gutter="0"/>
          <w:pgNumType w:fmt="numberInDash"/>
          <w:cols w:space="0" w:num="1"/>
          <w:docGrid w:type="lines" w:linePitch="317" w:charSpace="0"/>
        </w:sect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pStyle w:val="2"/>
        <w:kinsoku w:val="0"/>
        <w:overflowPunct w:val="0"/>
        <w:spacing w:line="820" w:lineRule="exact"/>
        <w:ind w:left="0" w:right="95"/>
        <w:jc w:val="center"/>
        <w:rPr>
          <w:sz w:val="52"/>
          <w:szCs w:val="52"/>
        </w:rPr>
      </w:pPr>
      <w:r>
        <w:rPr>
          <w:rFonts w:hint="eastAsia"/>
          <w:sz w:val="52"/>
          <w:szCs w:val="52"/>
        </w:rPr>
        <w:t>第二部分</w:t>
      </w:r>
    </w:p>
    <w:p>
      <w:pPr>
        <w:kinsoku w:val="0"/>
        <w:overflowPunct w:val="0"/>
        <w:spacing w:before="6" w:line="180" w:lineRule="exact"/>
        <w:rPr>
          <w:sz w:val="52"/>
          <w:szCs w:val="52"/>
        </w:rPr>
      </w:pPr>
    </w:p>
    <w:p>
      <w:pPr>
        <w:kinsoku w:val="0"/>
        <w:overflowPunct w:val="0"/>
        <w:ind w:left="90" w:right="95"/>
        <w:jc w:val="center"/>
        <w:rPr>
          <w:rFonts w:ascii="黑体" w:hAnsi="黑体" w:eastAsia="黑体" w:cs="黑体"/>
          <w:sz w:val="52"/>
          <w:szCs w:val="52"/>
        </w:rPr>
      </w:pPr>
      <w:r>
        <w:rPr>
          <w:rFonts w:hint="eastAsia" w:ascii="黑体" w:hAnsi="黑体" w:eastAsia="黑体" w:cs="黑体"/>
          <w:sz w:val="52"/>
          <w:szCs w:val="52"/>
        </w:rPr>
        <w:t>焦作西部产业集聚区管理委员会</w:t>
      </w:r>
    </w:p>
    <w:p>
      <w:pPr>
        <w:kinsoku w:val="0"/>
        <w:overflowPunct w:val="0"/>
        <w:ind w:left="90" w:right="95"/>
        <w:jc w:val="center"/>
        <w:rPr>
          <w:rFonts w:ascii="黑体" w:hAnsi="黑体" w:eastAsia="黑体" w:cs="黑体"/>
          <w:sz w:val="52"/>
          <w:szCs w:val="52"/>
        </w:rPr>
      </w:pPr>
      <w:r>
        <w:rPr>
          <w:rFonts w:ascii="黑体" w:hAnsi="黑体" w:eastAsia="黑体" w:cs="黑体"/>
          <w:sz w:val="52"/>
          <w:szCs w:val="52"/>
        </w:rPr>
        <w:t>2016</w:t>
      </w:r>
      <w:r>
        <w:rPr>
          <w:rFonts w:hint="eastAsia" w:ascii="黑体" w:hAnsi="黑体" w:eastAsia="黑体" w:cs="黑体"/>
          <w:sz w:val="52"/>
          <w:szCs w:val="52"/>
        </w:rPr>
        <w:t>年度部门决算表</w:t>
      </w:r>
    </w:p>
    <w:p>
      <w:pPr>
        <w:kinsoku w:val="0"/>
        <w:overflowPunct w:val="0"/>
        <w:ind w:left="90" w:right="95"/>
        <w:jc w:val="center"/>
        <w:rPr>
          <w:rFonts w:ascii="黑体" w:hAnsi="黑体" w:eastAsia="黑体" w:cs="黑体"/>
          <w:sz w:val="52"/>
          <w:szCs w:val="52"/>
        </w:rPr>
      </w:pPr>
    </w:p>
    <w:p>
      <w:pPr>
        <w:jc w:val="center"/>
        <w:rPr>
          <w:rFonts w:ascii="隶书" w:hAnsi="隶书" w:eastAsia="隶书" w:cs="Times New Roman"/>
          <w:sz w:val="48"/>
          <w:szCs w:val="48"/>
        </w:rPr>
        <w:sectPr>
          <w:pgSz w:w="11906" w:h="16838"/>
          <w:pgMar w:top="1440" w:right="1531" w:bottom="1440" w:left="1587" w:header="850" w:footer="992" w:gutter="0"/>
          <w:pgNumType w:fmt="numberInDash"/>
          <w:cols w:space="0" w:num="1"/>
          <w:docGrid w:type="lines" w:linePitch="317" w:charSpace="0"/>
        </w:sectPr>
      </w:pPr>
    </w:p>
    <w:tbl>
      <w:tblPr>
        <w:tblStyle w:val="7"/>
        <w:tblW w:w="10350" w:type="dxa"/>
        <w:tblInd w:w="-13" w:type="dxa"/>
        <w:tblLayout w:type="fixed"/>
        <w:tblCellMar>
          <w:top w:w="15" w:type="dxa"/>
          <w:left w:w="15" w:type="dxa"/>
          <w:bottom w:w="15" w:type="dxa"/>
          <w:right w:w="15" w:type="dxa"/>
        </w:tblCellMar>
      </w:tblPr>
      <w:tblGrid>
        <w:gridCol w:w="1995"/>
        <w:gridCol w:w="645"/>
        <w:gridCol w:w="642"/>
        <w:gridCol w:w="472"/>
        <w:gridCol w:w="1316"/>
        <w:gridCol w:w="2325"/>
        <w:gridCol w:w="495"/>
        <w:gridCol w:w="324"/>
        <w:gridCol w:w="527"/>
        <w:gridCol w:w="1609"/>
      </w:tblGrid>
      <w:tr>
        <w:tblPrEx>
          <w:tblLayout w:type="fixed"/>
          <w:tblCellMar>
            <w:top w:w="15" w:type="dxa"/>
            <w:left w:w="15" w:type="dxa"/>
            <w:bottom w:w="15" w:type="dxa"/>
            <w:right w:w="15" w:type="dxa"/>
          </w:tblCellMar>
        </w:tblPrEx>
        <w:trPr>
          <w:trHeight w:val="375" w:hRule="atLeast"/>
        </w:trPr>
        <w:tc>
          <w:tcPr>
            <w:tcW w:w="10350" w:type="dxa"/>
            <w:gridSpan w:val="10"/>
            <w:vAlign w:val="center"/>
          </w:tcPr>
          <w:p>
            <w:pPr>
              <w:widowControl/>
              <w:jc w:val="center"/>
              <w:textAlignment w:val="center"/>
              <w:rPr>
                <w:rFonts w:ascii="黑体" w:hAnsi="宋体" w:eastAsia="黑体" w:cs="Times New Roman"/>
                <w:color w:val="000000"/>
                <w:sz w:val="28"/>
                <w:szCs w:val="28"/>
              </w:rPr>
            </w:pPr>
            <w:r>
              <w:rPr>
                <w:rFonts w:hint="eastAsia" w:ascii="黑体" w:hAnsi="宋体" w:eastAsia="黑体" w:cs="黑体"/>
                <w:color w:val="000000"/>
                <w:kern w:val="0"/>
                <w:sz w:val="28"/>
                <w:szCs w:val="28"/>
              </w:rPr>
              <w:t>收入支出决算总表</w:t>
            </w:r>
          </w:p>
        </w:tc>
      </w:tr>
      <w:tr>
        <w:tblPrEx>
          <w:tblLayout w:type="fixed"/>
          <w:tblCellMar>
            <w:top w:w="15" w:type="dxa"/>
            <w:left w:w="15" w:type="dxa"/>
            <w:bottom w:w="15" w:type="dxa"/>
            <w:right w:w="15" w:type="dxa"/>
          </w:tblCellMar>
        </w:tblPrEx>
        <w:trPr>
          <w:trHeight w:val="315" w:hRule="atLeast"/>
        </w:trPr>
        <w:tc>
          <w:tcPr>
            <w:tcW w:w="3282" w:type="dxa"/>
            <w:gridSpan w:val="3"/>
            <w:vAlign w:val="center"/>
          </w:tcPr>
          <w:p>
            <w:pPr>
              <w:widowControl/>
              <w:jc w:val="left"/>
              <w:textAlignment w:val="center"/>
              <w:rPr>
                <w:rFonts w:ascii="宋体" w:cs="Times New Roman"/>
                <w:color w:val="000000"/>
                <w:sz w:val="16"/>
                <w:szCs w:val="16"/>
              </w:rPr>
            </w:pPr>
            <w:r>
              <w:rPr>
                <w:rFonts w:ascii="宋体" w:cs="宋体"/>
                <w:color w:val="000000"/>
                <w:kern w:val="0"/>
                <w:sz w:val="16"/>
                <w:szCs w:val="16"/>
              </w:rPr>
              <w:t>.</w:t>
            </w:r>
          </w:p>
        </w:tc>
        <w:tc>
          <w:tcPr>
            <w:tcW w:w="472" w:type="dxa"/>
            <w:vAlign w:val="center"/>
          </w:tcPr>
          <w:p>
            <w:pPr>
              <w:rPr>
                <w:rFonts w:ascii="宋体" w:cs="Times New Roman"/>
                <w:color w:val="000000"/>
                <w:sz w:val="16"/>
                <w:szCs w:val="16"/>
              </w:rPr>
            </w:pPr>
          </w:p>
        </w:tc>
        <w:tc>
          <w:tcPr>
            <w:tcW w:w="1316" w:type="dxa"/>
            <w:vAlign w:val="center"/>
          </w:tcPr>
          <w:p>
            <w:pPr>
              <w:rPr>
                <w:rFonts w:ascii="宋体" w:cs="Times New Roman"/>
                <w:color w:val="000000"/>
                <w:sz w:val="16"/>
                <w:szCs w:val="16"/>
              </w:rPr>
            </w:pPr>
          </w:p>
        </w:tc>
        <w:tc>
          <w:tcPr>
            <w:tcW w:w="3144" w:type="dxa"/>
            <w:gridSpan w:val="3"/>
            <w:vAlign w:val="center"/>
          </w:tcPr>
          <w:p>
            <w:pPr>
              <w:rPr>
                <w:rFonts w:ascii="宋体" w:cs="Times New Roman"/>
                <w:color w:val="000000"/>
                <w:sz w:val="16"/>
                <w:szCs w:val="16"/>
              </w:rPr>
            </w:pPr>
          </w:p>
        </w:tc>
        <w:tc>
          <w:tcPr>
            <w:tcW w:w="527" w:type="dxa"/>
            <w:vAlign w:val="center"/>
          </w:tcPr>
          <w:p>
            <w:pPr>
              <w:rPr>
                <w:rFonts w:ascii="宋体" w:cs="Times New Roman"/>
                <w:color w:val="000000"/>
                <w:sz w:val="16"/>
                <w:szCs w:val="16"/>
              </w:rPr>
            </w:pPr>
          </w:p>
        </w:tc>
        <w:tc>
          <w:tcPr>
            <w:tcW w:w="1609"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01</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3282" w:type="dxa"/>
            <w:gridSpan w:val="3"/>
            <w:vAlign w:val="center"/>
          </w:tcPr>
          <w:p>
            <w:pPr>
              <w:rPr>
                <w:rFonts w:ascii="宋体" w:cs="Times New Roman"/>
                <w:color w:val="000000"/>
                <w:sz w:val="16"/>
                <w:szCs w:val="16"/>
              </w:rPr>
            </w:pPr>
            <w:r>
              <w:rPr>
                <w:rFonts w:hint="eastAsia" w:ascii="宋体" w:cs="Times New Roman"/>
                <w:color w:val="000000"/>
                <w:sz w:val="16"/>
                <w:szCs w:val="16"/>
              </w:rPr>
              <w:t>单位：焦作西部产业集聚区管委会</w:t>
            </w:r>
          </w:p>
        </w:tc>
        <w:tc>
          <w:tcPr>
            <w:tcW w:w="472" w:type="dxa"/>
            <w:vAlign w:val="center"/>
          </w:tcPr>
          <w:p>
            <w:pPr>
              <w:rPr>
                <w:rFonts w:ascii="宋体" w:cs="Times New Roman"/>
                <w:color w:val="000000"/>
                <w:sz w:val="16"/>
                <w:szCs w:val="16"/>
              </w:rPr>
            </w:pPr>
          </w:p>
        </w:tc>
        <w:tc>
          <w:tcPr>
            <w:tcW w:w="1316" w:type="dxa"/>
            <w:vAlign w:val="center"/>
          </w:tcPr>
          <w:p>
            <w:pPr>
              <w:rPr>
                <w:rFonts w:ascii="宋体" w:cs="Times New Roman"/>
                <w:color w:val="000000"/>
                <w:sz w:val="16"/>
                <w:szCs w:val="16"/>
              </w:rPr>
            </w:pPr>
          </w:p>
        </w:tc>
        <w:tc>
          <w:tcPr>
            <w:tcW w:w="3144" w:type="dxa"/>
            <w:gridSpan w:val="3"/>
            <w:vAlign w:val="center"/>
          </w:tcPr>
          <w:p>
            <w:pPr>
              <w:rPr>
                <w:rFonts w:ascii="宋体" w:cs="Times New Roman"/>
                <w:color w:val="000000"/>
                <w:sz w:val="16"/>
                <w:szCs w:val="16"/>
              </w:rPr>
            </w:pPr>
          </w:p>
        </w:tc>
        <w:tc>
          <w:tcPr>
            <w:tcW w:w="527" w:type="dxa"/>
            <w:vAlign w:val="center"/>
          </w:tcPr>
          <w:p>
            <w:pPr>
              <w:rPr>
                <w:rFonts w:ascii="宋体" w:cs="Times New Roman"/>
                <w:color w:val="000000"/>
                <w:sz w:val="16"/>
                <w:szCs w:val="16"/>
              </w:rPr>
            </w:pPr>
          </w:p>
        </w:tc>
        <w:tc>
          <w:tcPr>
            <w:tcW w:w="1609"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070" w:type="dxa"/>
            <w:gridSpan w:val="5"/>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收　　入</w:t>
            </w:r>
          </w:p>
        </w:tc>
        <w:tc>
          <w:tcPr>
            <w:tcW w:w="5280" w:type="dxa"/>
            <w:gridSpan w:val="5"/>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支　　出</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　　次</w:t>
            </w:r>
          </w:p>
        </w:tc>
        <w:tc>
          <w:tcPr>
            <w:tcW w:w="64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　　次</w:t>
            </w:r>
          </w:p>
        </w:tc>
        <w:tc>
          <w:tcPr>
            <w:tcW w:w="49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一、财政拨款收入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175.70</w:t>
            </w: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一、一般公共服务支出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30</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r>
              <w:rPr>
                <w:rFonts w:ascii="宋体" w:cs="Times New Roman"/>
                <w:color w:val="000000"/>
                <w:sz w:val="16"/>
                <w:szCs w:val="16"/>
              </w:rPr>
              <w:t>159.71</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二、上级补助收入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二、外交支出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31</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三、事业收入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三、国防支出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32</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四、经营收入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四、公共安全支出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33</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五、附属单位上缴收入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五、教育支出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34</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六、其他收入</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6</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六、科学技术支出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35</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7</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七、文化体育与传媒支出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36</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8</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八、社会保障和就业支出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37</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r>
              <w:rPr>
                <w:rFonts w:ascii="宋体" w:cs="Times New Roman"/>
                <w:color w:val="000000"/>
                <w:sz w:val="16"/>
                <w:szCs w:val="16"/>
              </w:rPr>
              <w:t>4.00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9</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九、医疗卫生与计划生育支出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38</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r>
              <w:rPr>
                <w:rFonts w:ascii="宋体" w:cs="Times New Roman"/>
                <w:color w:val="000000"/>
                <w:sz w:val="16"/>
                <w:szCs w:val="16"/>
              </w:rPr>
              <w:t>2.70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10</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十、节能环保支出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39</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11</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十一、城乡社区支出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40</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12</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十二、农林水支出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41</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13</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十三、交通运输支出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42</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14</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十四、资源勘探信息等支出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43</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15</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十五、商业服务业等支出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44</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16</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十六、金融支出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45</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17</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十七、援助其他地区支出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46</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18</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十八、国土海洋气象等支出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47</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19</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十九、住房保障支出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48</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r>
              <w:rPr>
                <w:rFonts w:ascii="宋体" w:cs="Times New Roman"/>
                <w:color w:val="000000"/>
                <w:sz w:val="16"/>
                <w:szCs w:val="16"/>
              </w:rPr>
              <w:t>9.29</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20</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二十、粮油物资储备支出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49</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21</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二十一、其他支出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50</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22</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二十二、债务还本支出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51</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23</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宋体" w:cs="Times New Roman"/>
                <w:color w:val="000000"/>
                <w:sz w:val="16"/>
                <w:szCs w:val="16"/>
              </w:rPr>
            </w:pPr>
            <w:r>
              <w:rPr>
                <w:rFonts w:hint="eastAsia" w:ascii="宋体" w:hAnsi="宋体" w:cs="宋体"/>
                <w:color w:val="000000"/>
                <w:kern w:val="0"/>
                <w:sz w:val="16"/>
                <w:szCs w:val="16"/>
              </w:rPr>
              <w:t>二十三、债务付息支出</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52</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24</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53</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本年收入合计</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25</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r>
              <w:rPr>
                <w:rFonts w:ascii="宋体" w:cs="Times New Roman"/>
                <w:b/>
                <w:bCs/>
                <w:color w:val="000000"/>
                <w:sz w:val="16"/>
                <w:szCs w:val="16"/>
              </w:rPr>
              <w:t>175.70</w:t>
            </w: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本年支出合计</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54</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r>
              <w:rPr>
                <w:rFonts w:ascii="宋体" w:cs="Times New Roman"/>
                <w:b/>
                <w:bCs/>
                <w:color w:val="000000"/>
                <w:sz w:val="16"/>
                <w:szCs w:val="16"/>
              </w:rPr>
              <w:t>175.70</w:t>
            </w: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　用事业基金弥补收支差额</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26</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hint="eastAsia" w:ascii="宋体" w:hAnsi="宋体" w:cs="宋体"/>
                <w:color w:val="000000"/>
                <w:kern w:val="0"/>
                <w:sz w:val="16"/>
                <w:szCs w:val="16"/>
              </w:rPr>
              <w:t>结余分配</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55</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　年初结转和结余</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27</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hint="eastAsia" w:ascii="宋体" w:hAnsi="宋体" w:cs="宋体"/>
                <w:color w:val="000000"/>
                <w:kern w:val="0"/>
                <w:sz w:val="16"/>
                <w:szCs w:val="16"/>
              </w:rPr>
              <w:t>年末结转和结余</w:t>
            </w: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56</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4" w:space="0"/>
              <w:right w:val="single" w:color="000000" w:sz="4" w:space="0"/>
            </w:tcBorders>
            <w:vAlign w:val="center"/>
          </w:tcPr>
          <w:p>
            <w:pPr>
              <w:jc w:val="center"/>
              <w:rPr>
                <w:rFonts w:ascii="宋体" w:cs="Times New Roman"/>
                <w:color w:val="000000"/>
                <w:sz w:val="16"/>
                <w:szCs w:val="16"/>
              </w:rPr>
            </w:pP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28</w:t>
            </w:r>
          </w:p>
        </w:tc>
        <w:tc>
          <w:tcPr>
            <w:tcW w:w="243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232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p>
        </w:tc>
        <w:tc>
          <w:tcPr>
            <w:tcW w:w="4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57</w:t>
            </w:r>
          </w:p>
        </w:tc>
        <w:tc>
          <w:tcPr>
            <w:tcW w:w="2460" w:type="dxa"/>
            <w:gridSpan w:val="3"/>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995" w:type="dxa"/>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总计</w:t>
            </w:r>
          </w:p>
        </w:tc>
        <w:tc>
          <w:tcPr>
            <w:tcW w:w="645"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29</w:t>
            </w:r>
          </w:p>
        </w:tc>
        <w:tc>
          <w:tcPr>
            <w:tcW w:w="2430" w:type="dxa"/>
            <w:gridSpan w:val="3"/>
            <w:tcBorders>
              <w:top w:val="single" w:color="000000" w:sz="4" w:space="0"/>
              <w:left w:val="single" w:color="000000" w:sz="4" w:space="0"/>
              <w:bottom w:val="single" w:color="000000" w:sz="12" w:space="0"/>
              <w:right w:val="single" w:color="000000" w:sz="4" w:space="0"/>
            </w:tcBorders>
            <w:vAlign w:val="center"/>
          </w:tcPr>
          <w:p>
            <w:pPr>
              <w:jc w:val="center"/>
              <w:rPr>
                <w:rFonts w:ascii="宋体" w:cs="Times New Roman"/>
                <w:b/>
                <w:bCs/>
                <w:color w:val="000000"/>
                <w:sz w:val="16"/>
                <w:szCs w:val="16"/>
              </w:rPr>
            </w:pPr>
            <w:r>
              <w:rPr>
                <w:rFonts w:ascii="宋体" w:cs="Times New Roman"/>
                <w:b/>
                <w:bCs/>
                <w:color w:val="000000"/>
                <w:sz w:val="16"/>
                <w:szCs w:val="16"/>
              </w:rPr>
              <w:t>175.70</w:t>
            </w:r>
          </w:p>
        </w:tc>
        <w:tc>
          <w:tcPr>
            <w:tcW w:w="2325"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总计</w:t>
            </w:r>
          </w:p>
        </w:tc>
        <w:tc>
          <w:tcPr>
            <w:tcW w:w="495"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58</w:t>
            </w:r>
          </w:p>
        </w:tc>
        <w:tc>
          <w:tcPr>
            <w:tcW w:w="2460" w:type="dxa"/>
            <w:gridSpan w:val="3"/>
            <w:tcBorders>
              <w:top w:val="single" w:color="000000" w:sz="4" w:space="0"/>
              <w:left w:val="single" w:color="000000" w:sz="4" w:space="0"/>
              <w:bottom w:val="single" w:color="000000" w:sz="12" w:space="0"/>
              <w:right w:val="single" w:color="000000" w:sz="12" w:space="0"/>
            </w:tcBorders>
            <w:vAlign w:val="center"/>
          </w:tcPr>
          <w:p>
            <w:pPr>
              <w:jc w:val="center"/>
              <w:rPr>
                <w:rFonts w:ascii="宋体" w:cs="Times New Roman"/>
                <w:b/>
                <w:bCs/>
                <w:color w:val="000000"/>
                <w:sz w:val="16"/>
                <w:szCs w:val="16"/>
              </w:rPr>
            </w:pPr>
            <w:r>
              <w:rPr>
                <w:rFonts w:ascii="宋体" w:cs="Times New Roman"/>
                <w:b/>
                <w:bCs/>
                <w:color w:val="000000"/>
                <w:sz w:val="16"/>
                <w:szCs w:val="16"/>
              </w:rPr>
              <w:t>175.70</w:t>
            </w:r>
          </w:p>
        </w:tc>
      </w:tr>
      <w:tr>
        <w:tblPrEx>
          <w:tblLayout w:type="fixed"/>
          <w:tblCellMar>
            <w:top w:w="15" w:type="dxa"/>
            <w:left w:w="15" w:type="dxa"/>
            <w:bottom w:w="15" w:type="dxa"/>
            <w:right w:w="15" w:type="dxa"/>
          </w:tblCellMar>
        </w:tblPrEx>
        <w:trPr>
          <w:trHeight w:val="555" w:hRule="atLeast"/>
        </w:trPr>
        <w:tc>
          <w:tcPr>
            <w:tcW w:w="10350" w:type="dxa"/>
            <w:gridSpan w:val="10"/>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注：本表反映部门本年度的总收支和年末结转结余情况。</w:t>
            </w:r>
          </w:p>
        </w:tc>
      </w:tr>
    </w:tbl>
    <w:p>
      <w:pPr>
        <w:spacing w:line="360" w:lineRule="auto"/>
        <w:rPr>
          <w:rFonts w:ascii="隶书" w:hAnsi="隶书" w:eastAsia="隶书" w:cs="Times New Roman"/>
          <w:sz w:val="52"/>
          <w:szCs w:val="52"/>
        </w:rPr>
        <w:sectPr>
          <w:pgSz w:w="11906" w:h="16838"/>
          <w:pgMar w:top="1440" w:right="1797" w:bottom="1440" w:left="964" w:header="851" w:footer="992" w:gutter="0"/>
          <w:pgNumType w:fmt="numberInDash"/>
          <w:cols w:space="425" w:num="1"/>
          <w:docGrid w:type="lines" w:linePitch="312" w:charSpace="0"/>
        </w:sectPr>
      </w:pPr>
    </w:p>
    <w:tbl>
      <w:tblPr>
        <w:tblStyle w:val="7"/>
        <w:tblW w:w="10337" w:type="dxa"/>
        <w:tblInd w:w="-13" w:type="dxa"/>
        <w:tblLayout w:type="fixed"/>
        <w:tblCellMar>
          <w:top w:w="15" w:type="dxa"/>
          <w:left w:w="15" w:type="dxa"/>
          <w:bottom w:w="15" w:type="dxa"/>
          <w:right w:w="15" w:type="dxa"/>
        </w:tblCellMar>
      </w:tblPr>
      <w:tblGrid>
        <w:gridCol w:w="675"/>
        <w:gridCol w:w="962"/>
        <w:gridCol w:w="1036"/>
        <w:gridCol w:w="1094"/>
        <w:gridCol w:w="810"/>
        <w:gridCol w:w="284"/>
        <w:gridCol w:w="676"/>
        <w:gridCol w:w="418"/>
        <w:gridCol w:w="542"/>
        <w:gridCol w:w="552"/>
        <w:gridCol w:w="408"/>
        <w:gridCol w:w="686"/>
        <w:gridCol w:w="274"/>
        <w:gridCol w:w="820"/>
        <w:gridCol w:w="140"/>
        <w:gridCol w:w="960"/>
      </w:tblGrid>
      <w:tr>
        <w:tblPrEx>
          <w:tblLayout w:type="fixed"/>
          <w:tblCellMar>
            <w:top w:w="15" w:type="dxa"/>
            <w:left w:w="15" w:type="dxa"/>
            <w:bottom w:w="15" w:type="dxa"/>
            <w:right w:w="15" w:type="dxa"/>
          </w:tblCellMar>
        </w:tblPrEx>
        <w:trPr>
          <w:trHeight w:val="375" w:hRule="atLeast"/>
        </w:trPr>
        <w:tc>
          <w:tcPr>
            <w:tcW w:w="10337" w:type="dxa"/>
            <w:gridSpan w:val="16"/>
            <w:vAlign w:val="center"/>
          </w:tcPr>
          <w:p>
            <w:pPr>
              <w:widowControl/>
              <w:jc w:val="center"/>
              <w:textAlignment w:val="center"/>
              <w:rPr>
                <w:rFonts w:ascii="黑体" w:hAnsi="宋体" w:eastAsia="黑体" w:cs="Times New Roman"/>
                <w:color w:val="000000"/>
                <w:sz w:val="28"/>
                <w:szCs w:val="28"/>
              </w:rPr>
            </w:pPr>
            <w:r>
              <w:rPr>
                <w:rFonts w:hint="eastAsia" w:ascii="黑体" w:hAnsi="宋体" w:eastAsia="黑体" w:cs="黑体"/>
                <w:color w:val="000000"/>
                <w:kern w:val="0"/>
                <w:sz w:val="28"/>
                <w:szCs w:val="28"/>
              </w:rPr>
              <w:t>收入决算表</w:t>
            </w:r>
          </w:p>
        </w:tc>
      </w:tr>
      <w:tr>
        <w:tblPrEx>
          <w:tblLayout w:type="fixed"/>
          <w:tblCellMar>
            <w:top w:w="15" w:type="dxa"/>
            <w:left w:w="15" w:type="dxa"/>
            <w:bottom w:w="15" w:type="dxa"/>
            <w:right w:w="15" w:type="dxa"/>
          </w:tblCellMar>
        </w:tblPrEx>
        <w:trPr>
          <w:trHeight w:val="285" w:hRule="atLeast"/>
        </w:trPr>
        <w:tc>
          <w:tcPr>
            <w:tcW w:w="1637" w:type="dxa"/>
            <w:gridSpan w:val="2"/>
            <w:vAlign w:val="center"/>
          </w:tcPr>
          <w:p>
            <w:pPr>
              <w:rPr>
                <w:rFonts w:ascii="宋体" w:cs="Times New Roman"/>
                <w:color w:val="000000"/>
                <w:sz w:val="16"/>
                <w:szCs w:val="16"/>
              </w:rPr>
            </w:pPr>
          </w:p>
        </w:tc>
        <w:tc>
          <w:tcPr>
            <w:tcW w:w="1036" w:type="dxa"/>
            <w:vAlign w:val="center"/>
          </w:tcPr>
          <w:p>
            <w:pPr>
              <w:rPr>
                <w:rFonts w:ascii="宋体" w:cs="Times New Roman"/>
                <w:color w:val="000000"/>
                <w:sz w:val="16"/>
                <w:szCs w:val="16"/>
              </w:rPr>
            </w:pPr>
          </w:p>
        </w:tc>
        <w:tc>
          <w:tcPr>
            <w:tcW w:w="1904"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02</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637" w:type="dxa"/>
            <w:gridSpan w:val="2"/>
            <w:vAlign w:val="center"/>
          </w:tcPr>
          <w:p>
            <w:pPr>
              <w:rPr>
                <w:rFonts w:ascii="宋体" w:cs="Times New Roman"/>
                <w:color w:val="000000"/>
                <w:sz w:val="16"/>
                <w:szCs w:val="16"/>
              </w:rPr>
            </w:pPr>
            <w:r>
              <w:rPr>
                <w:rFonts w:hint="eastAsia" w:ascii="宋体" w:cs="Times New Roman"/>
                <w:color w:val="000000"/>
                <w:sz w:val="16"/>
                <w:szCs w:val="16"/>
              </w:rPr>
              <w:t>单位：焦作西部产业集</w:t>
            </w:r>
          </w:p>
        </w:tc>
        <w:tc>
          <w:tcPr>
            <w:tcW w:w="1036" w:type="dxa"/>
            <w:vAlign w:val="center"/>
          </w:tcPr>
          <w:p>
            <w:pPr>
              <w:rPr>
                <w:rFonts w:ascii="宋体" w:cs="Times New Roman"/>
                <w:color w:val="000000"/>
                <w:sz w:val="16"/>
                <w:szCs w:val="16"/>
              </w:rPr>
            </w:pPr>
            <w:r>
              <w:rPr>
                <w:rFonts w:hint="eastAsia" w:ascii="宋体" w:cs="Times New Roman"/>
                <w:color w:val="000000"/>
                <w:sz w:val="16"/>
                <w:szCs w:val="16"/>
              </w:rPr>
              <w:t>聚区管委会</w:t>
            </w:r>
          </w:p>
        </w:tc>
        <w:tc>
          <w:tcPr>
            <w:tcW w:w="1904"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gridSpan w:val="2"/>
            <w:vAlign w:val="center"/>
          </w:tcPr>
          <w:p>
            <w:pPr>
              <w:rPr>
                <w:rFonts w:ascii="宋体" w:cs="Times New Roman"/>
                <w:color w:val="000000"/>
                <w:sz w:val="16"/>
                <w:szCs w:val="16"/>
              </w:rPr>
            </w:pPr>
          </w:p>
        </w:tc>
        <w:tc>
          <w:tcPr>
            <w:tcW w:w="960"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2673"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w:t>
            </w:r>
            <w:r>
              <w:rPr>
                <w:rFonts w:ascii="宋体" w:hAnsi="宋体" w:cs="宋体"/>
                <w:b/>
                <w:bCs/>
                <w:color w:val="000000"/>
                <w:kern w:val="0"/>
                <w:sz w:val="16"/>
                <w:szCs w:val="16"/>
              </w:rPr>
              <w:t xml:space="preserve"> </w:t>
            </w:r>
            <w:r>
              <w:rPr>
                <w:rFonts w:hint="eastAsia" w:ascii="宋体" w:hAnsi="宋体" w:cs="宋体"/>
                <w:b/>
                <w:bCs/>
                <w:color w:val="000000"/>
                <w:kern w:val="0"/>
                <w:sz w:val="16"/>
                <w:szCs w:val="16"/>
              </w:rPr>
              <w:t>目</w:t>
            </w:r>
          </w:p>
        </w:tc>
        <w:tc>
          <w:tcPr>
            <w:tcW w:w="1094"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本年收入合计</w:t>
            </w:r>
          </w:p>
        </w:tc>
        <w:tc>
          <w:tcPr>
            <w:tcW w:w="109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财政拨款收入</w:t>
            </w:r>
          </w:p>
        </w:tc>
        <w:tc>
          <w:tcPr>
            <w:tcW w:w="109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上级补助收入</w:t>
            </w:r>
          </w:p>
        </w:tc>
        <w:tc>
          <w:tcPr>
            <w:tcW w:w="109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事业收入</w:t>
            </w:r>
          </w:p>
        </w:tc>
        <w:tc>
          <w:tcPr>
            <w:tcW w:w="109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经营收入</w:t>
            </w:r>
          </w:p>
        </w:tc>
        <w:tc>
          <w:tcPr>
            <w:tcW w:w="109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附属单位</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上缴收入</w:t>
            </w:r>
          </w:p>
        </w:tc>
        <w:tc>
          <w:tcPr>
            <w:tcW w:w="1100" w:type="dxa"/>
            <w:gridSpan w:val="2"/>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其他收入</w:t>
            </w: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094"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9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9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9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9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09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100" w:type="dxa"/>
            <w:gridSpan w:val="2"/>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PrEx>
        <w:trPr>
          <w:trHeight w:val="285" w:hRule="atLeast"/>
        </w:trPr>
        <w:tc>
          <w:tcPr>
            <w:tcW w:w="2673"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10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6</w:t>
            </w: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7</w:t>
            </w:r>
          </w:p>
        </w:tc>
      </w:tr>
      <w:tr>
        <w:tblPrEx>
          <w:tblLayout w:type="fixed"/>
          <w:tblCellMar>
            <w:top w:w="15" w:type="dxa"/>
            <w:left w:w="15" w:type="dxa"/>
            <w:bottom w:w="15" w:type="dxa"/>
            <w:right w:w="15" w:type="dxa"/>
          </w:tblCellMar>
        </w:tblPrEx>
        <w:trPr>
          <w:trHeight w:val="285" w:hRule="atLeast"/>
        </w:trPr>
        <w:tc>
          <w:tcPr>
            <w:tcW w:w="2673"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r>
              <w:rPr>
                <w:rFonts w:ascii="宋体" w:cs="Times New Roman"/>
                <w:b/>
                <w:bCs/>
                <w:color w:val="000000"/>
                <w:sz w:val="16"/>
                <w:szCs w:val="16"/>
              </w:rPr>
              <w:t>175.70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r>
              <w:rPr>
                <w:rFonts w:ascii="宋体" w:cs="Times New Roman"/>
                <w:b/>
                <w:bCs/>
                <w:color w:val="000000"/>
                <w:sz w:val="16"/>
                <w:szCs w:val="16"/>
              </w:rPr>
              <w:t>175.70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b/>
                <w:bCs/>
                <w:color w:val="000000"/>
                <w:sz w:val="16"/>
                <w:szCs w:val="16"/>
              </w:rPr>
            </w:pPr>
          </w:p>
        </w:tc>
      </w:tr>
      <w:tr>
        <w:tblPrEx>
          <w:tblLayout w:type="fixed"/>
          <w:tblCellMar>
            <w:top w:w="15" w:type="dxa"/>
            <w:left w:w="15" w:type="dxa"/>
            <w:bottom w:w="15" w:type="dxa"/>
            <w:right w:w="15" w:type="dxa"/>
          </w:tblCellMar>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201</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一般公共服务支出</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r>
              <w:rPr>
                <w:rFonts w:ascii="宋体" w:cs="Times New Roman"/>
                <w:b/>
                <w:bCs/>
                <w:color w:val="000000"/>
                <w:sz w:val="16"/>
                <w:szCs w:val="16"/>
              </w:rPr>
              <w:t>159.71</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r>
              <w:rPr>
                <w:rFonts w:ascii="宋体" w:cs="Times New Roman"/>
                <w:b/>
                <w:bCs/>
                <w:color w:val="000000"/>
                <w:sz w:val="16"/>
                <w:szCs w:val="16"/>
              </w:rPr>
              <w:t>159.71</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b/>
                <w:bCs/>
                <w:color w:val="000000"/>
                <w:sz w:val="16"/>
                <w:szCs w:val="16"/>
              </w:rPr>
            </w:pPr>
          </w:p>
        </w:tc>
      </w:tr>
      <w:tr>
        <w:tblPrEx>
          <w:tblLayout w:type="fixed"/>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20103</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政府办公厅（室）及相关机构事物</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158.88</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158.88</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2010350</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事业运行</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158.88</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158.88</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ind w:right="240"/>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20113</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商贸事务</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0.83</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0.83</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2011308</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招商引资</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0.83</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0.83</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208</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社会保障和就业支出</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4.00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4</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20803</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财政对社会保险基金的补助</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0.19</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0.19</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2080305</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财政对生育保险基金的补助</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0.19</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0.19</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20805</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行政事业单位离退休</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3.81</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3.81</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2080502</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事业单位离退休</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3.81</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3.81</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210</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医疗卫生与计划生育支出</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21005</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医疗保障</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2100502</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事业单位医疗</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PrEx>
        <w:trPr>
          <w:trHeight w:val="420" w:hRule="atLeast"/>
        </w:trPr>
        <w:tc>
          <w:tcPr>
            <w:tcW w:w="67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221</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住房保障支出</w:t>
            </w:r>
          </w:p>
        </w:tc>
        <w:tc>
          <w:tcPr>
            <w:tcW w:w="109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35" w:hRule="atLeast"/>
        </w:trPr>
        <w:tc>
          <w:tcPr>
            <w:tcW w:w="67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22102</w:t>
            </w:r>
          </w:p>
        </w:tc>
        <w:tc>
          <w:tcPr>
            <w:tcW w:w="1998"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住房改革支出</w:t>
            </w:r>
          </w:p>
        </w:tc>
        <w:tc>
          <w:tcPr>
            <w:tcW w:w="1094"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435" w:hRule="atLeast"/>
        </w:trPr>
        <w:tc>
          <w:tcPr>
            <w:tcW w:w="67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2210201</w:t>
            </w:r>
          </w:p>
        </w:tc>
        <w:tc>
          <w:tcPr>
            <w:tcW w:w="1998"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住房公积金</w:t>
            </w:r>
          </w:p>
        </w:tc>
        <w:tc>
          <w:tcPr>
            <w:tcW w:w="1094"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1094"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1100" w:type="dxa"/>
            <w:gridSpan w:val="2"/>
            <w:tcBorders>
              <w:top w:val="single" w:color="000000" w:sz="4" w:space="0"/>
              <w:left w:val="single" w:color="000000" w:sz="4" w:space="0"/>
              <w:bottom w:val="single" w:color="000000" w:sz="12" w:space="0"/>
              <w:right w:val="single" w:color="000000" w:sz="12" w:space="0"/>
            </w:tcBorders>
            <w:vAlign w:val="center"/>
          </w:tcPr>
          <w:p>
            <w:pPr>
              <w:jc w:val="right"/>
              <w:rPr>
                <w:rFonts w:ascii="宋体" w:cs="Times New Roman"/>
                <w:color w:val="000000"/>
                <w:sz w:val="16"/>
                <w:szCs w:val="16"/>
              </w:rPr>
            </w:pPr>
          </w:p>
        </w:tc>
      </w:tr>
      <w:tr>
        <w:tblPrEx>
          <w:tblLayout w:type="fixed"/>
        </w:tblPrEx>
        <w:trPr>
          <w:trHeight w:val="285" w:hRule="atLeast"/>
        </w:trPr>
        <w:tc>
          <w:tcPr>
            <w:tcW w:w="10337" w:type="dxa"/>
            <w:gridSpan w:val="16"/>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注：本表反映部门本年度取得的各项收入情况。</w:t>
            </w:r>
          </w:p>
        </w:tc>
      </w:tr>
    </w:tbl>
    <w:p>
      <w:pPr>
        <w:spacing w:line="360" w:lineRule="auto"/>
        <w:jc w:val="center"/>
        <w:rPr>
          <w:rFonts w:ascii="隶书" w:hAnsi="隶书" w:eastAsia="隶书" w:cs="Times New Roman"/>
          <w:sz w:val="52"/>
          <w:szCs w:val="52"/>
        </w:rPr>
        <w:sectPr>
          <w:pgSz w:w="11906" w:h="16838"/>
          <w:pgMar w:top="2098" w:right="1531" w:bottom="1985" w:left="907" w:header="851" w:footer="992" w:gutter="0"/>
          <w:pgNumType w:fmt="numberInDash"/>
          <w:cols w:space="0" w:num="1"/>
          <w:docGrid w:type="lines" w:linePitch="317" w:charSpace="0"/>
        </w:sectPr>
      </w:pPr>
    </w:p>
    <w:tbl>
      <w:tblPr>
        <w:tblStyle w:val="7"/>
        <w:tblW w:w="10350" w:type="dxa"/>
        <w:tblInd w:w="-13" w:type="dxa"/>
        <w:tblLayout w:type="fixed"/>
        <w:tblCellMar>
          <w:top w:w="15" w:type="dxa"/>
          <w:left w:w="15" w:type="dxa"/>
          <w:bottom w:w="15" w:type="dxa"/>
          <w:right w:w="15" w:type="dxa"/>
        </w:tblCellMar>
      </w:tblPr>
      <w:tblGrid>
        <w:gridCol w:w="735"/>
        <w:gridCol w:w="747"/>
        <w:gridCol w:w="1638"/>
        <w:gridCol w:w="1042"/>
        <w:gridCol w:w="163"/>
        <w:gridCol w:w="836"/>
        <w:gridCol w:w="369"/>
        <w:gridCol w:w="630"/>
        <w:gridCol w:w="575"/>
        <w:gridCol w:w="424"/>
        <w:gridCol w:w="781"/>
        <w:gridCol w:w="218"/>
        <w:gridCol w:w="987"/>
        <w:gridCol w:w="1205"/>
      </w:tblGrid>
      <w:tr>
        <w:tblPrEx>
          <w:tblLayout w:type="fixed"/>
          <w:tblCellMar>
            <w:top w:w="15" w:type="dxa"/>
            <w:left w:w="15" w:type="dxa"/>
            <w:bottom w:w="15" w:type="dxa"/>
            <w:right w:w="15" w:type="dxa"/>
          </w:tblCellMar>
        </w:tblPrEx>
        <w:trPr>
          <w:trHeight w:val="375" w:hRule="atLeast"/>
        </w:trPr>
        <w:tc>
          <w:tcPr>
            <w:tcW w:w="10350" w:type="dxa"/>
            <w:gridSpan w:val="14"/>
            <w:vAlign w:val="center"/>
          </w:tcPr>
          <w:p>
            <w:pPr>
              <w:widowControl/>
              <w:jc w:val="center"/>
              <w:textAlignment w:val="center"/>
              <w:rPr>
                <w:rFonts w:ascii="黑体" w:hAnsi="宋体" w:eastAsia="黑体" w:cs="Times New Roman"/>
                <w:color w:val="000000"/>
                <w:sz w:val="28"/>
                <w:szCs w:val="28"/>
              </w:rPr>
            </w:pPr>
            <w:r>
              <w:rPr>
                <w:rFonts w:hint="eastAsia" w:ascii="黑体" w:hAnsi="宋体" w:eastAsia="黑体" w:cs="黑体"/>
                <w:color w:val="000000"/>
                <w:kern w:val="0"/>
                <w:sz w:val="28"/>
                <w:szCs w:val="28"/>
              </w:rPr>
              <w:t>支出决算表</w:t>
            </w:r>
          </w:p>
        </w:tc>
      </w:tr>
      <w:tr>
        <w:tblPrEx>
          <w:tblLayout w:type="fixed"/>
          <w:tblCellMar>
            <w:top w:w="15" w:type="dxa"/>
            <w:left w:w="15" w:type="dxa"/>
            <w:bottom w:w="15" w:type="dxa"/>
            <w:right w:w="15" w:type="dxa"/>
          </w:tblCellMar>
        </w:tblPrEx>
        <w:trPr>
          <w:trHeight w:val="315" w:hRule="atLeast"/>
        </w:trPr>
        <w:tc>
          <w:tcPr>
            <w:tcW w:w="1482" w:type="dxa"/>
            <w:gridSpan w:val="2"/>
            <w:vAlign w:val="center"/>
          </w:tcPr>
          <w:p>
            <w:pPr>
              <w:rPr>
                <w:rFonts w:ascii="宋体" w:cs="Times New Roman"/>
                <w:color w:val="000000"/>
                <w:sz w:val="16"/>
                <w:szCs w:val="16"/>
              </w:rPr>
            </w:pPr>
          </w:p>
        </w:tc>
        <w:tc>
          <w:tcPr>
            <w:tcW w:w="1638" w:type="dxa"/>
            <w:vAlign w:val="center"/>
          </w:tcPr>
          <w:p>
            <w:pPr>
              <w:rPr>
                <w:rFonts w:ascii="宋体" w:cs="Times New Roman"/>
                <w:color w:val="000000"/>
                <w:sz w:val="16"/>
                <w:szCs w:val="16"/>
              </w:rPr>
            </w:pPr>
          </w:p>
        </w:tc>
        <w:tc>
          <w:tcPr>
            <w:tcW w:w="1042"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2192"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03</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1482" w:type="dxa"/>
            <w:gridSpan w:val="2"/>
            <w:vAlign w:val="center"/>
          </w:tcPr>
          <w:p>
            <w:pPr>
              <w:rPr>
                <w:rFonts w:ascii="宋体" w:cs="Times New Roman"/>
                <w:color w:val="000000"/>
                <w:sz w:val="16"/>
                <w:szCs w:val="16"/>
              </w:rPr>
            </w:pPr>
            <w:r>
              <w:rPr>
                <w:rFonts w:hint="eastAsia" w:ascii="宋体" w:cs="Times New Roman"/>
                <w:color w:val="000000"/>
                <w:sz w:val="16"/>
                <w:szCs w:val="16"/>
              </w:rPr>
              <w:t>单位：焦作西部产业</w:t>
            </w:r>
          </w:p>
        </w:tc>
        <w:tc>
          <w:tcPr>
            <w:tcW w:w="1638" w:type="dxa"/>
            <w:vAlign w:val="center"/>
          </w:tcPr>
          <w:p>
            <w:pPr>
              <w:rPr>
                <w:rFonts w:ascii="宋体" w:cs="Times New Roman"/>
                <w:color w:val="000000"/>
                <w:sz w:val="16"/>
                <w:szCs w:val="16"/>
              </w:rPr>
            </w:pPr>
            <w:r>
              <w:rPr>
                <w:rFonts w:hint="eastAsia" w:ascii="宋体" w:cs="Times New Roman"/>
                <w:color w:val="000000"/>
                <w:sz w:val="16"/>
                <w:szCs w:val="16"/>
              </w:rPr>
              <w:t>集聚区管委会</w:t>
            </w:r>
          </w:p>
        </w:tc>
        <w:tc>
          <w:tcPr>
            <w:tcW w:w="1042"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2192"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120"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120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本年支出合计</w:t>
            </w:r>
          </w:p>
        </w:tc>
        <w:tc>
          <w:tcPr>
            <w:tcW w:w="120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基本支出</w:t>
            </w:r>
          </w:p>
        </w:tc>
        <w:tc>
          <w:tcPr>
            <w:tcW w:w="120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项目支出</w:t>
            </w:r>
          </w:p>
        </w:tc>
        <w:tc>
          <w:tcPr>
            <w:tcW w:w="120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上缴上级支出</w:t>
            </w:r>
          </w:p>
        </w:tc>
        <w:tc>
          <w:tcPr>
            <w:tcW w:w="1205"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经营支出</w:t>
            </w:r>
          </w:p>
        </w:tc>
        <w:tc>
          <w:tcPr>
            <w:tcW w:w="1205"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对附属单位</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补助支出</w:t>
            </w:r>
          </w:p>
        </w:tc>
      </w:tr>
      <w:tr>
        <w:tblPrEx>
          <w:tblLayout w:type="fixed"/>
          <w:tblCellMar>
            <w:top w:w="15" w:type="dxa"/>
            <w:left w:w="15" w:type="dxa"/>
            <w:bottom w:w="15" w:type="dxa"/>
            <w:right w:w="15" w:type="dxa"/>
          </w:tblCellMar>
        </w:tblPrEx>
        <w:trPr>
          <w:trHeight w:val="6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20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0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0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0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05"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05"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PrEx>
        <w:trPr>
          <w:trHeight w:val="300" w:hRule="atLeast"/>
        </w:trPr>
        <w:tc>
          <w:tcPr>
            <w:tcW w:w="312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6</w:t>
            </w:r>
          </w:p>
        </w:tc>
      </w:tr>
      <w:tr>
        <w:tblPrEx>
          <w:tblLayout w:type="fixed"/>
          <w:tblCellMar>
            <w:top w:w="15" w:type="dxa"/>
            <w:left w:w="15" w:type="dxa"/>
            <w:bottom w:w="15" w:type="dxa"/>
            <w:right w:w="15" w:type="dxa"/>
          </w:tblCellMar>
        </w:tblPrEx>
        <w:trPr>
          <w:trHeight w:val="300" w:hRule="atLeast"/>
        </w:trPr>
        <w:tc>
          <w:tcPr>
            <w:tcW w:w="312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175.70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r>
              <w:rPr>
                <w:rFonts w:ascii="宋体" w:cs="Times New Roman"/>
                <w:b/>
                <w:bCs/>
                <w:color w:val="000000"/>
                <w:sz w:val="16"/>
                <w:szCs w:val="16"/>
              </w:rPr>
              <w:t>175.70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201</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一般公共服务支出</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r>
              <w:rPr>
                <w:rFonts w:ascii="宋体" w:cs="Times New Roman"/>
                <w:b/>
                <w:bCs/>
                <w:color w:val="000000"/>
                <w:sz w:val="16"/>
                <w:szCs w:val="16"/>
              </w:rPr>
              <w:t>159.71</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r>
              <w:rPr>
                <w:rFonts w:ascii="宋体" w:cs="Times New Roman"/>
                <w:b/>
                <w:bCs/>
                <w:color w:val="000000"/>
                <w:sz w:val="16"/>
                <w:szCs w:val="16"/>
              </w:rPr>
              <w:t>159.71</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20103</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政府办公厅（室）及相关机构事物</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158.88</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158.88</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2010350</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事业运行</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158.88</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158.88</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20113</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商贸事务</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0.83</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0.83</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2011308</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招商引资</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0.83</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0.83</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208</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社会保障和就业支出</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4.00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4</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20803</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财政对社会保险基金的补助</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0.19</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0.19</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2080305</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财政对生育保险基金的补助</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0.19</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0.19</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20805</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行政事业单位离退休</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3.81</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3.81</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2080502</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事业单位离退休</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3.81</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3.81</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210</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医疗卫生与计划生育支出</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21005</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医疗保障</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2100502</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事业单位医疗</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2.70</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221</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住房保障支出</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22102</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住房改革支出</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2210201</w:t>
            </w: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住房公积金</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9.29</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238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0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3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w:t>
            </w:r>
          </w:p>
        </w:tc>
        <w:tc>
          <w:tcPr>
            <w:tcW w:w="2385"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p>
        </w:tc>
        <w:tc>
          <w:tcPr>
            <w:tcW w:w="120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20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20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20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20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205"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60" w:hRule="atLeast"/>
        </w:trPr>
        <w:tc>
          <w:tcPr>
            <w:tcW w:w="10350" w:type="dxa"/>
            <w:gridSpan w:val="14"/>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注：本表反映部门本年度各项支出情况。</w:t>
            </w:r>
          </w:p>
        </w:tc>
      </w:tr>
    </w:tbl>
    <w:p>
      <w:pPr>
        <w:spacing w:line="360" w:lineRule="auto"/>
        <w:jc w:val="center"/>
        <w:rPr>
          <w:rFonts w:ascii="隶书" w:hAnsi="隶书" w:eastAsia="隶书" w:cs="Times New Roman"/>
          <w:sz w:val="52"/>
          <w:szCs w:val="52"/>
        </w:rPr>
        <w:sectPr>
          <w:pgSz w:w="11906" w:h="16838"/>
          <w:pgMar w:top="2098" w:right="1474" w:bottom="1985" w:left="907" w:header="851" w:footer="992" w:gutter="0"/>
          <w:pgNumType w:fmt="numberInDash"/>
          <w:cols w:space="0" w:num="1"/>
          <w:docGrid w:type="lines" w:linePitch="318" w:charSpace="0"/>
        </w:sectPr>
      </w:pPr>
    </w:p>
    <w:tbl>
      <w:tblPr>
        <w:tblStyle w:val="7"/>
        <w:tblW w:w="10425" w:type="dxa"/>
        <w:tblInd w:w="-13" w:type="dxa"/>
        <w:tblLayout w:type="fixed"/>
        <w:tblCellMar>
          <w:top w:w="15" w:type="dxa"/>
          <w:left w:w="15" w:type="dxa"/>
          <w:bottom w:w="15" w:type="dxa"/>
          <w:right w:w="15" w:type="dxa"/>
        </w:tblCellMar>
      </w:tblPr>
      <w:tblGrid>
        <w:gridCol w:w="2145"/>
        <w:gridCol w:w="144"/>
        <w:gridCol w:w="261"/>
        <w:gridCol w:w="54"/>
        <w:gridCol w:w="1416"/>
        <w:gridCol w:w="1432"/>
        <w:gridCol w:w="316"/>
        <w:gridCol w:w="337"/>
        <w:gridCol w:w="420"/>
        <w:gridCol w:w="242"/>
        <w:gridCol w:w="999"/>
        <w:gridCol w:w="59"/>
        <w:gridCol w:w="1300"/>
        <w:gridCol w:w="1300"/>
      </w:tblGrid>
      <w:tr>
        <w:tblPrEx>
          <w:tblLayout w:type="fixed"/>
          <w:tblCellMar>
            <w:top w:w="15" w:type="dxa"/>
            <w:left w:w="15" w:type="dxa"/>
            <w:bottom w:w="15" w:type="dxa"/>
            <w:right w:w="15" w:type="dxa"/>
          </w:tblCellMar>
        </w:tblPrEx>
        <w:trPr>
          <w:trHeight w:val="169" w:hRule="atLeast"/>
        </w:trPr>
        <w:tc>
          <w:tcPr>
            <w:tcW w:w="10425" w:type="dxa"/>
            <w:gridSpan w:val="14"/>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财政拨款收入支出决算表</w:t>
            </w:r>
          </w:p>
        </w:tc>
      </w:tr>
      <w:tr>
        <w:tblPrEx>
          <w:tblLayout w:type="fixed"/>
          <w:tblCellMar>
            <w:top w:w="15" w:type="dxa"/>
            <w:left w:w="15" w:type="dxa"/>
            <w:bottom w:w="15" w:type="dxa"/>
            <w:right w:w="15" w:type="dxa"/>
          </w:tblCellMar>
        </w:tblPrEx>
        <w:trPr>
          <w:trHeight w:val="107" w:hRule="atLeast"/>
        </w:trPr>
        <w:tc>
          <w:tcPr>
            <w:tcW w:w="2289" w:type="dxa"/>
            <w:gridSpan w:val="2"/>
            <w:vAlign w:val="center"/>
          </w:tcPr>
          <w:p>
            <w:pPr>
              <w:rPr>
                <w:rFonts w:ascii="宋体" w:cs="Times New Roman"/>
                <w:color w:val="000000"/>
                <w:sz w:val="16"/>
                <w:szCs w:val="16"/>
              </w:rPr>
            </w:pPr>
            <w:r>
              <w:rPr>
                <w:rFonts w:hint="eastAsia" w:ascii="宋体" w:cs="Times New Roman"/>
                <w:color w:val="000000"/>
                <w:sz w:val="16"/>
                <w:szCs w:val="16"/>
              </w:rPr>
              <w:t>单位：焦作西部产业集聚区管委</w:t>
            </w:r>
          </w:p>
        </w:tc>
        <w:tc>
          <w:tcPr>
            <w:tcW w:w="315" w:type="dxa"/>
            <w:gridSpan w:val="2"/>
            <w:vAlign w:val="center"/>
          </w:tcPr>
          <w:p>
            <w:pPr>
              <w:rPr>
                <w:rFonts w:ascii="宋体" w:cs="Times New Roman"/>
                <w:color w:val="000000"/>
                <w:sz w:val="16"/>
                <w:szCs w:val="16"/>
              </w:rPr>
            </w:pPr>
            <w:r>
              <w:rPr>
                <w:rFonts w:hint="eastAsia" w:ascii="宋体" w:cs="Times New Roman"/>
                <w:color w:val="000000"/>
                <w:sz w:val="16"/>
                <w:szCs w:val="16"/>
              </w:rPr>
              <w:t>会</w:t>
            </w:r>
          </w:p>
        </w:tc>
        <w:tc>
          <w:tcPr>
            <w:tcW w:w="1416" w:type="dxa"/>
            <w:vAlign w:val="center"/>
          </w:tcPr>
          <w:p>
            <w:pPr>
              <w:rPr>
                <w:rFonts w:ascii="宋体" w:cs="Times New Roman"/>
                <w:color w:val="000000"/>
                <w:sz w:val="16"/>
                <w:szCs w:val="16"/>
              </w:rPr>
            </w:pPr>
          </w:p>
        </w:tc>
        <w:tc>
          <w:tcPr>
            <w:tcW w:w="1432" w:type="dxa"/>
            <w:vAlign w:val="center"/>
          </w:tcPr>
          <w:p>
            <w:pPr>
              <w:rPr>
                <w:rFonts w:ascii="宋体" w:cs="Times New Roman"/>
                <w:color w:val="000000"/>
                <w:sz w:val="16"/>
                <w:szCs w:val="16"/>
              </w:rPr>
            </w:pPr>
          </w:p>
        </w:tc>
        <w:tc>
          <w:tcPr>
            <w:tcW w:w="316" w:type="dxa"/>
            <w:vAlign w:val="center"/>
          </w:tcPr>
          <w:p>
            <w:pPr>
              <w:rPr>
                <w:rFonts w:ascii="宋体" w:cs="Times New Roman"/>
                <w:color w:val="000000"/>
                <w:sz w:val="16"/>
                <w:szCs w:val="16"/>
              </w:rPr>
            </w:pPr>
          </w:p>
        </w:tc>
        <w:tc>
          <w:tcPr>
            <w:tcW w:w="999" w:type="dxa"/>
            <w:gridSpan w:val="3"/>
            <w:vAlign w:val="center"/>
          </w:tcPr>
          <w:p>
            <w:pPr>
              <w:jc w:val="right"/>
              <w:rPr>
                <w:rFonts w:ascii="宋体" w:cs="Times New Roman"/>
                <w:color w:val="000000"/>
                <w:sz w:val="16"/>
                <w:szCs w:val="16"/>
              </w:rPr>
            </w:pPr>
          </w:p>
        </w:tc>
        <w:tc>
          <w:tcPr>
            <w:tcW w:w="999" w:type="dxa"/>
            <w:vAlign w:val="center"/>
          </w:tcPr>
          <w:p>
            <w:pPr>
              <w:jc w:val="right"/>
              <w:rPr>
                <w:rFonts w:ascii="宋体" w:cs="Times New Roman"/>
                <w:color w:val="000000"/>
                <w:sz w:val="16"/>
                <w:szCs w:val="16"/>
              </w:rPr>
            </w:pPr>
          </w:p>
        </w:tc>
        <w:tc>
          <w:tcPr>
            <w:tcW w:w="2659" w:type="dxa"/>
            <w:gridSpan w:val="3"/>
            <w:vAlign w:val="center"/>
          </w:tcPr>
          <w:p>
            <w:pPr>
              <w:widowControl/>
              <w:wordWrap w:val="0"/>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04</w:t>
            </w:r>
            <w:r>
              <w:rPr>
                <w:rFonts w:hint="eastAsia" w:ascii="宋体" w:hAnsi="宋体" w:cs="宋体"/>
                <w:color w:val="000000"/>
                <w:kern w:val="0"/>
                <w:sz w:val="16"/>
                <w:szCs w:val="16"/>
              </w:rPr>
              <w:t>表</w:t>
            </w:r>
            <w:r>
              <w:rPr>
                <w:rFonts w:ascii="宋体" w:hAnsi="宋体" w:cs="宋体"/>
                <w:color w:val="000000"/>
                <w:kern w:val="0"/>
                <w:sz w:val="16"/>
                <w:szCs w:val="16"/>
              </w:rPr>
              <w:t xml:space="preserve">  </w:t>
            </w: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4020" w:type="dxa"/>
            <w:gridSpan w:val="5"/>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收　　入</w:t>
            </w:r>
          </w:p>
        </w:tc>
        <w:tc>
          <w:tcPr>
            <w:tcW w:w="6405" w:type="dxa"/>
            <w:gridSpan w:val="9"/>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支　　出</w:t>
            </w:r>
          </w:p>
        </w:tc>
      </w:tr>
      <w:tr>
        <w:tblPrEx>
          <w:tblLayout w:type="fixed"/>
          <w:tblCellMar>
            <w:top w:w="15" w:type="dxa"/>
            <w:left w:w="15" w:type="dxa"/>
            <w:bottom w:w="15" w:type="dxa"/>
            <w:right w:w="15" w:type="dxa"/>
          </w:tblCellMar>
        </w:tblPrEx>
        <w:trPr>
          <w:trHeight w:val="480"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行次</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一般公共预算财政拨款</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政府性基金预算财政拨款</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　　次</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w:t>
            </w:r>
            <w:r>
              <w:rPr>
                <w:rFonts w:ascii="宋体" w:hAnsi="宋体" w:cs="宋体"/>
                <w:b/>
                <w:bCs/>
                <w:color w:val="000000"/>
                <w:kern w:val="0"/>
                <w:sz w:val="16"/>
                <w:szCs w:val="16"/>
              </w:rPr>
              <w:t xml:space="preserve">    </w:t>
            </w:r>
            <w:r>
              <w:rPr>
                <w:rFonts w:hint="eastAsia" w:ascii="宋体" w:hAnsi="宋体" w:cs="宋体"/>
                <w:b/>
                <w:bCs/>
                <w:color w:val="000000"/>
                <w:kern w:val="0"/>
                <w:sz w:val="16"/>
                <w:szCs w:val="16"/>
              </w:rPr>
              <w:t>次</w:t>
            </w:r>
          </w:p>
        </w:tc>
        <w:tc>
          <w:tcPr>
            <w:tcW w:w="42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一、一般公共预算财政拨款</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175.70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一、一般公共服务支出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31</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159.71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159.71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二、政府性基金预算财政拨款</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二、外交支出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32</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三、国防支出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33</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四、公共安全支出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34</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五、教育支出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35</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6</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六、科学技术支出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36</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7</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七、文化体育与传媒支出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37</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8</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八、社会保障和就业支出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38</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4.00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4.00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9</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九、医疗卫生与计划生育支出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39</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2.70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2.70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10</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十、节能环保支出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40</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11</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十一、城乡社区支出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41</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12</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十二、农林水支出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42</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13</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十三、交通运输支出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43</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14</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十四、资源勘探信息等支出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44</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15</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十五、商业服务业等支出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45</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16</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十六、金融支出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46</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17</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十七、援助其他地区支出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47</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18</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十八、国土海洋气象等支出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48</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19</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十九、住房保障支出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49</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9.29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9.29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20</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二十、粮油物资储备支出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50</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21</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二十一、其他支出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51</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22</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二十二、债务还本支出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52</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23</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二十三、债务付息支出</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53</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24</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54</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30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本年收入合计</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25</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175.70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本年支出合计</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55</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175.70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175.70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　年初财政拨款结转和结余</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26</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　年末财政拨款结转和结余</w:t>
            </w: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56</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　一般公共预算财政拨款</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27</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57</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30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　政府性基金预算财政拨款</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28</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58</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30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1300" w:type="dxa"/>
            <w:tcBorders>
              <w:top w:val="single" w:color="000000" w:sz="4" w:space="0"/>
              <w:left w:val="single" w:color="000000" w:sz="4" w:space="0"/>
              <w:bottom w:val="single" w:color="000000" w:sz="4" w:space="0"/>
              <w:right w:val="single" w:color="000000" w:sz="12" w:space="0"/>
            </w:tcBorders>
            <w:vAlign w:val="center"/>
          </w:tcPr>
          <w:p>
            <w:pPr>
              <w:jc w:val="right"/>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214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29</w:t>
            </w:r>
          </w:p>
        </w:tc>
        <w:tc>
          <w:tcPr>
            <w:tcW w:w="147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2085"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4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59</w:t>
            </w:r>
          </w:p>
        </w:tc>
        <w:tc>
          <w:tcPr>
            <w:tcW w:w="1300"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30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90" w:hRule="atLeast"/>
        </w:trPr>
        <w:tc>
          <w:tcPr>
            <w:tcW w:w="2145" w:type="dxa"/>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总计</w:t>
            </w:r>
          </w:p>
        </w:tc>
        <w:tc>
          <w:tcPr>
            <w:tcW w:w="405" w:type="dxa"/>
            <w:gridSpan w:val="2"/>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30</w:t>
            </w:r>
          </w:p>
        </w:tc>
        <w:tc>
          <w:tcPr>
            <w:tcW w:w="14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175.70 </w:t>
            </w:r>
          </w:p>
        </w:tc>
        <w:tc>
          <w:tcPr>
            <w:tcW w:w="2085" w:type="dxa"/>
            <w:gridSpan w:val="3"/>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总计</w:t>
            </w:r>
          </w:p>
        </w:tc>
        <w:tc>
          <w:tcPr>
            <w:tcW w:w="420"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60</w:t>
            </w:r>
          </w:p>
        </w:tc>
        <w:tc>
          <w:tcPr>
            <w:tcW w:w="1300"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175.70 </w:t>
            </w:r>
          </w:p>
        </w:tc>
        <w:tc>
          <w:tcPr>
            <w:tcW w:w="130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175.70 </w:t>
            </w:r>
          </w:p>
        </w:tc>
        <w:tc>
          <w:tcPr>
            <w:tcW w:w="130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PrEx>
        <w:trPr>
          <w:trHeight w:val="495" w:hRule="atLeast"/>
        </w:trPr>
        <w:tc>
          <w:tcPr>
            <w:tcW w:w="10425" w:type="dxa"/>
            <w:gridSpan w:val="14"/>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注：本表反映部门本年度一般公共预算财政拨款和政府性基金预算财政拨款的总收支和年末结转结余情况。</w:t>
            </w:r>
            <w:r>
              <w:rPr>
                <w:rFonts w:ascii="宋体" w:hAnsi="宋体" w:cs="宋体"/>
                <w:color w:val="000000"/>
                <w:kern w:val="0"/>
                <w:sz w:val="16"/>
                <w:szCs w:val="16"/>
              </w:rPr>
              <w:t xml:space="preserve">             </w:t>
            </w:r>
          </w:p>
        </w:tc>
      </w:tr>
    </w:tbl>
    <w:p>
      <w:pPr>
        <w:spacing w:line="360" w:lineRule="auto"/>
        <w:jc w:val="center"/>
        <w:rPr>
          <w:rFonts w:ascii="隶书" w:hAnsi="隶书" w:eastAsia="隶书" w:cs="Times New Roman"/>
          <w:sz w:val="52"/>
          <w:szCs w:val="52"/>
        </w:rPr>
      </w:pPr>
      <w:r>
        <w:rPr>
          <w:rFonts w:ascii="隶书" w:hAnsi="隶书" w:eastAsia="隶书" w:cs="Times New Roman"/>
          <w:sz w:val="52"/>
          <w:szCs w:val="52"/>
        </w:rPr>
        <w:br w:type="page"/>
      </w:r>
    </w:p>
    <w:tbl>
      <w:tblPr>
        <w:tblStyle w:val="7"/>
        <w:tblW w:w="10412" w:type="dxa"/>
        <w:tblInd w:w="15" w:type="dxa"/>
        <w:tblLayout w:type="fixed"/>
        <w:tblCellMar>
          <w:top w:w="15" w:type="dxa"/>
          <w:left w:w="15" w:type="dxa"/>
          <w:bottom w:w="15" w:type="dxa"/>
          <w:right w:w="15" w:type="dxa"/>
        </w:tblCellMar>
      </w:tblPr>
      <w:tblGrid>
        <w:gridCol w:w="1188"/>
        <w:gridCol w:w="675"/>
        <w:gridCol w:w="1800"/>
        <w:gridCol w:w="2249"/>
        <w:gridCol w:w="76"/>
        <w:gridCol w:w="1575"/>
        <w:gridCol w:w="598"/>
        <w:gridCol w:w="2251"/>
      </w:tblGrid>
      <w:tr>
        <w:tblPrEx>
          <w:tblLayout w:type="fixed"/>
          <w:tblCellMar>
            <w:top w:w="15" w:type="dxa"/>
            <w:left w:w="15" w:type="dxa"/>
            <w:bottom w:w="15" w:type="dxa"/>
            <w:right w:w="15" w:type="dxa"/>
          </w:tblCellMar>
        </w:tblPrEx>
        <w:trPr>
          <w:trHeight w:val="375" w:hRule="atLeast"/>
        </w:trPr>
        <w:tc>
          <w:tcPr>
            <w:tcW w:w="10412" w:type="dxa"/>
            <w:gridSpan w:val="8"/>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一般公共预算财政拨款支出决算表</w:t>
            </w:r>
          </w:p>
        </w:tc>
      </w:tr>
      <w:tr>
        <w:tblPrEx>
          <w:tblLayout w:type="fixed"/>
          <w:tblCellMar>
            <w:top w:w="15" w:type="dxa"/>
            <w:left w:w="15" w:type="dxa"/>
            <w:bottom w:w="15" w:type="dxa"/>
            <w:right w:w="15" w:type="dxa"/>
          </w:tblCellMar>
        </w:tblPrEx>
        <w:trPr>
          <w:trHeight w:val="285" w:hRule="atLeast"/>
        </w:trPr>
        <w:tc>
          <w:tcPr>
            <w:tcW w:w="1863" w:type="dxa"/>
            <w:gridSpan w:val="2"/>
            <w:vAlign w:val="center"/>
          </w:tcPr>
          <w:p>
            <w:pPr>
              <w:rPr>
                <w:rFonts w:ascii="宋体" w:cs="Times New Roman"/>
                <w:color w:val="000000"/>
                <w:sz w:val="16"/>
                <w:szCs w:val="16"/>
              </w:rPr>
            </w:pPr>
          </w:p>
        </w:tc>
        <w:tc>
          <w:tcPr>
            <w:tcW w:w="1800" w:type="dxa"/>
            <w:vAlign w:val="center"/>
          </w:tcPr>
          <w:p>
            <w:pPr>
              <w:rPr>
                <w:rFonts w:ascii="宋体" w:cs="Times New Roman"/>
                <w:color w:val="000000"/>
                <w:sz w:val="16"/>
                <w:szCs w:val="16"/>
              </w:rPr>
            </w:pPr>
          </w:p>
        </w:tc>
        <w:tc>
          <w:tcPr>
            <w:tcW w:w="2325" w:type="dxa"/>
            <w:gridSpan w:val="2"/>
            <w:vAlign w:val="center"/>
          </w:tcPr>
          <w:p>
            <w:pPr>
              <w:rPr>
                <w:rFonts w:ascii="宋体" w:cs="Times New Roman"/>
                <w:color w:val="000000"/>
                <w:sz w:val="16"/>
                <w:szCs w:val="16"/>
              </w:rPr>
            </w:pPr>
          </w:p>
        </w:tc>
        <w:tc>
          <w:tcPr>
            <w:tcW w:w="1575" w:type="dxa"/>
            <w:vAlign w:val="center"/>
          </w:tcPr>
          <w:p>
            <w:pPr>
              <w:rPr>
                <w:rFonts w:ascii="宋体" w:cs="Times New Roman"/>
                <w:color w:val="000000"/>
                <w:sz w:val="16"/>
                <w:szCs w:val="16"/>
              </w:rPr>
            </w:pPr>
          </w:p>
        </w:tc>
        <w:tc>
          <w:tcPr>
            <w:tcW w:w="2849"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05</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863" w:type="dxa"/>
            <w:gridSpan w:val="2"/>
            <w:vAlign w:val="center"/>
          </w:tcPr>
          <w:p>
            <w:pPr>
              <w:rPr>
                <w:rFonts w:ascii="宋体" w:cs="Times New Roman"/>
                <w:color w:val="000000"/>
                <w:sz w:val="16"/>
                <w:szCs w:val="16"/>
              </w:rPr>
            </w:pPr>
            <w:r>
              <w:rPr>
                <w:rFonts w:hint="eastAsia" w:ascii="宋体" w:cs="Times New Roman"/>
                <w:color w:val="000000"/>
                <w:sz w:val="16"/>
                <w:szCs w:val="16"/>
              </w:rPr>
              <w:t>单位：焦作西部产业集聚</w:t>
            </w:r>
          </w:p>
        </w:tc>
        <w:tc>
          <w:tcPr>
            <w:tcW w:w="1800" w:type="dxa"/>
            <w:vAlign w:val="center"/>
          </w:tcPr>
          <w:p>
            <w:pPr>
              <w:rPr>
                <w:rFonts w:ascii="宋体" w:cs="Times New Roman"/>
                <w:color w:val="000000"/>
                <w:sz w:val="16"/>
                <w:szCs w:val="16"/>
              </w:rPr>
            </w:pPr>
            <w:r>
              <w:rPr>
                <w:rFonts w:hint="eastAsia" w:ascii="宋体" w:cs="Times New Roman"/>
                <w:color w:val="000000"/>
                <w:sz w:val="16"/>
                <w:szCs w:val="16"/>
              </w:rPr>
              <w:t>区管委会</w:t>
            </w:r>
          </w:p>
        </w:tc>
        <w:tc>
          <w:tcPr>
            <w:tcW w:w="2325" w:type="dxa"/>
            <w:gridSpan w:val="2"/>
            <w:vAlign w:val="center"/>
          </w:tcPr>
          <w:p>
            <w:pPr>
              <w:rPr>
                <w:rFonts w:ascii="宋体" w:cs="Times New Roman"/>
                <w:color w:val="000000"/>
                <w:sz w:val="16"/>
                <w:szCs w:val="16"/>
              </w:rPr>
            </w:pPr>
          </w:p>
        </w:tc>
        <w:tc>
          <w:tcPr>
            <w:tcW w:w="1575" w:type="dxa"/>
            <w:vAlign w:val="center"/>
          </w:tcPr>
          <w:p>
            <w:pPr>
              <w:rPr>
                <w:rFonts w:ascii="宋体" w:cs="Times New Roman"/>
                <w:color w:val="000000"/>
                <w:sz w:val="16"/>
                <w:szCs w:val="16"/>
              </w:rPr>
            </w:pPr>
          </w:p>
        </w:tc>
        <w:tc>
          <w:tcPr>
            <w:tcW w:w="2849"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663"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w:t>
            </w:r>
          </w:p>
        </w:tc>
        <w:tc>
          <w:tcPr>
            <w:tcW w:w="2249"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本年支出合计</w:t>
            </w:r>
          </w:p>
        </w:tc>
        <w:tc>
          <w:tcPr>
            <w:tcW w:w="2249" w:type="dxa"/>
            <w:gridSpan w:val="3"/>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基本支出</w:t>
            </w:r>
          </w:p>
        </w:tc>
        <w:tc>
          <w:tcPr>
            <w:tcW w:w="2251"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项目支出</w:t>
            </w:r>
          </w:p>
        </w:tc>
      </w:tr>
      <w:tr>
        <w:tblPrEx>
          <w:tblLayout w:type="fixed"/>
          <w:tblCellMar>
            <w:top w:w="15" w:type="dxa"/>
            <w:left w:w="15" w:type="dxa"/>
            <w:bottom w:w="15" w:type="dxa"/>
            <w:right w:w="15" w:type="dxa"/>
          </w:tblCellMar>
        </w:tblPrEx>
        <w:trPr>
          <w:trHeight w:val="6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2249"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2249" w:type="dxa"/>
            <w:gridSpan w:val="3"/>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2251"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PrEx>
        <w:trPr>
          <w:trHeight w:val="300" w:hRule="atLeast"/>
        </w:trPr>
        <w:tc>
          <w:tcPr>
            <w:tcW w:w="3663"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224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r>
      <w:tr>
        <w:tblPrEx>
          <w:tblLayout w:type="fixed"/>
          <w:tblCellMar>
            <w:top w:w="15" w:type="dxa"/>
            <w:left w:w="15" w:type="dxa"/>
            <w:bottom w:w="15" w:type="dxa"/>
            <w:right w:w="15" w:type="dxa"/>
          </w:tblCellMar>
        </w:tblPrEx>
        <w:trPr>
          <w:trHeight w:val="300" w:hRule="atLeast"/>
        </w:trPr>
        <w:tc>
          <w:tcPr>
            <w:tcW w:w="3663"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224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cs="Times New Roman"/>
                <w:b/>
                <w:bCs/>
                <w:color w:val="000000"/>
                <w:sz w:val="16"/>
                <w:szCs w:val="16"/>
              </w:rPr>
              <w:t>175.70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cs="Times New Roman"/>
                <w:b/>
                <w:bCs/>
                <w:color w:val="000000"/>
                <w:sz w:val="16"/>
                <w:szCs w:val="16"/>
              </w:rPr>
              <w:t>175.70</w:t>
            </w:r>
          </w:p>
        </w:tc>
        <w:tc>
          <w:tcPr>
            <w:tcW w:w="2251" w:type="dxa"/>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201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一般公共服务支出</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r>
              <w:rPr>
                <w:rFonts w:ascii="宋体" w:cs="Times New Roman"/>
                <w:b/>
                <w:bCs/>
                <w:color w:val="000000"/>
                <w:sz w:val="16"/>
                <w:szCs w:val="16"/>
              </w:rPr>
              <w:t>159.71</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r>
              <w:rPr>
                <w:rFonts w:ascii="宋体" w:cs="Times New Roman"/>
                <w:b/>
                <w:bCs/>
                <w:color w:val="000000"/>
                <w:sz w:val="16"/>
                <w:szCs w:val="16"/>
              </w:rPr>
              <w:t>159.71</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20103</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政府办公厅（室）及相关机构事物</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158.88</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158.88</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2010350</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事业运行</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158.88</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158.88</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20113</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商贸事务</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0.83</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0.83</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2011308</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招商引资</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0.83</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0.83</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208</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社会保障和就业支出</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4.00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4.00</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20803</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财政对社会保险基金的补助</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0.19</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0.19</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2080305</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财政对生育保险基金的补助</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0.19</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0.19</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20805</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行政事业单位离退休</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3.81</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3.81</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2080502</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事业单位离退休</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3.81</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3.81</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210</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医疗卫生与计划生育支出</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2.70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2.70</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21005</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医疗保障</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2.70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2.70</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2100502</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事业单位医疗</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2.70</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2.70</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221</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住房保障支出</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9.29</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9.29</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hAnsi="宋体" w:cs="宋体"/>
                <w:color w:val="000000"/>
                <w:kern w:val="0"/>
                <w:sz w:val="16"/>
                <w:szCs w:val="16"/>
              </w:rPr>
            </w:pPr>
            <w:r>
              <w:rPr>
                <w:rFonts w:ascii="宋体" w:hAnsi="宋体" w:cs="宋体"/>
                <w:color w:val="000000"/>
                <w:kern w:val="0"/>
                <w:sz w:val="16"/>
                <w:szCs w:val="16"/>
              </w:rPr>
              <w:t>22102</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住房改革支出</w:t>
            </w:r>
          </w:p>
        </w:tc>
        <w:tc>
          <w:tcPr>
            <w:tcW w:w="224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9.29</w:t>
            </w:r>
          </w:p>
        </w:tc>
        <w:tc>
          <w:tcPr>
            <w:tcW w:w="224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16"/>
                <w:szCs w:val="16"/>
              </w:rPr>
            </w:pPr>
            <w:r>
              <w:rPr>
                <w:rFonts w:ascii="宋体" w:cs="Times New Roman"/>
                <w:color w:val="000000"/>
                <w:sz w:val="16"/>
                <w:szCs w:val="16"/>
              </w:rPr>
              <w:t>9.29</w:t>
            </w:r>
          </w:p>
        </w:tc>
        <w:tc>
          <w:tcPr>
            <w:tcW w:w="2251"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300" w:hRule="atLeast"/>
        </w:trPr>
        <w:tc>
          <w:tcPr>
            <w:tcW w:w="1188"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2210201</w:t>
            </w:r>
          </w:p>
        </w:tc>
        <w:tc>
          <w:tcPr>
            <w:tcW w:w="2475"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cs="Times New Roman"/>
                <w:color w:val="000000"/>
                <w:sz w:val="16"/>
                <w:szCs w:val="16"/>
              </w:rPr>
              <w:t>住房公积金</w:t>
            </w:r>
          </w:p>
        </w:tc>
        <w:tc>
          <w:tcPr>
            <w:tcW w:w="2249" w:type="dxa"/>
            <w:tcBorders>
              <w:top w:val="single" w:color="000000" w:sz="4" w:space="0"/>
              <w:left w:val="single" w:color="000000" w:sz="4" w:space="0"/>
              <w:bottom w:val="single" w:color="000000" w:sz="12" w:space="0"/>
              <w:right w:val="single" w:color="000000" w:sz="4" w:space="0"/>
            </w:tcBorders>
            <w:vAlign w:val="center"/>
          </w:tcPr>
          <w:p>
            <w:pPr>
              <w:jc w:val="center"/>
              <w:rPr>
                <w:rFonts w:ascii="宋体" w:cs="Times New Roman"/>
                <w:b/>
                <w:bCs/>
                <w:color w:val="000000"/>
                <w:sz w:val="16"/>
                <w:szCs w:val="16"/>
              </w:rPr>
            </w:pPr>
            <w:r>
              <w:rPr>
                <w:rFonts w:ascii="宋体" w:cs="Times New Roman"/>
                <w:b/>
                <w:bCs/>
                <w:color w:val="000000"/>
                <w:sz w:val="16"/>
                <w:szCs w:val="16"/>
              </w:rPr>
              <w:t>9.29</w:t>
            </w:r>
          </w:p>
        </w:tc>
        <w:tc>
          <w:tcPr>
            <w:tcW w:w="2249" w:type="dxa"/>
            <w:gridSpan w:val="3"/>
            <w:tcBorders>
              <w:top w:val="single" w:color="000000" w:sz="4" w:space="0"/>
              <w:left w:val="single" w:color="000000" w:sz="4" w:space="0"/>
              <w:bottom w:val="single" w:color="000000" w:sz="12" w:space="0"/>
              <w:right w:val="single" w:color="000000" w:sz="4" w:space="0"/>
            </w:tcBorders>
            <w:vAlign w:val="center"/>
          </w:tcPr>
          <w:p>
            <w:pPr>
              <w:jc w:val="center"/>
              <w:rPr>
                <w:rFonts w:ascii="宋体" w:cs="Times New Roman"/>
                <w:b/>
                <w:bCs/>
                <w:color w:val="000000"/>
                <w:sz w:val="16"/>
                <w:szCs w:val="16"/>
              </w:rPr>
            </w:pPr>
            <w:r>
              <w:rPr>
                <w:rFonts w:ascii="宋体" w:cs="Times New Roman"/>
                <w:b/>
                <w:bCs/>
                <w:color w:val="000000"/>
                <w:sz w:val="16"/>
                <w:szCs w:val="16"/>
              </w:rPr>
              <w:t>9.29</w:t>
            </w:r>
          </w:p>
        </w:tc>
        <w:tc>
          <w:tcPr>
            <w:tcW w:w="2251" w:type="dxa"/>
            <w:tcBorders>
              <w:top w:val="single" w:color="000000" w:sz="4" w:space="0"/>
              <w:left w:val="single" w:color="000000" w:sz="4" w:space="0"/>
              <w:bottom w:val="single" w:color="000000" w:sz="12" w:space="0"/>
              <w:right w:val="single" w:color="000000" w:sz="12" w:space="0"/>
            </w:tcBorders>
            <w:vAlign w:val="center"/>
          </w:tcPr>
          <w:p>
            <w:pPr>
              <w:widowControl/>
              <w:jc w:val="center"/>
              <w:textAlignment w:val="center"/>
              <w:rPr>
                <w:rFonts w:ascii="宋体" w:cs="Times New Roman"/>
                <w:color w:val="000000"/>
                <w:sz w:val="16"/>
                <w:szCs w:val="16"/>
              </w:rPr>
            </w:pPr>
          </w:p>
        </w:tc>
      </w:tr>
      <w:tr>
        <w:tblPrEx>
          <w:tblLayout w:type="fixed"/>
        </w:tblPrEx>
        <w:trPr>
          <w:trHeight w:val="600" w:hRule="atLeast"/>
        </w:trPr>
        <w:tc>
          <w:tcPr>
            <w:tcW w:w="10412" w:type="dxa"/>
            <w:gridSpan w:val="8"/>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注：本表反映部门本年度一般公共预算财政拨款实际支出情况。</w:t>
            </w:r>
            <w:r>
              <w:rPr>
                <w:rFonts w:ascii="宋体" w:hAnsi="宋体" w:cs="宋体"/>
                <w:color w:val="000000"/>
                <w:kern w:val="0"/>
                <w:sz w:val="16"/>
                <w:szCs w:val="16"/>
              </w:rPr>
              <w:t xml:space="preserve">             </w:t>
            </w:r>
          </w:p>
        </w:tc>
      </w:tr>
    </w:tbl>
    <w:p>
      <w:pPr>
        <w:spacing w:line="360" w:lineRule="auto"/>
        <w:jc w:val="center"/>
        <w:rPr>
          <w:rFonts w:ascii="隶书" w:hAnsi="隶书" w:eastAsia="隶书" w:cs="Times New Roman"/>
          <w:sz w:val="52"/>
          <w:szCs w:val="52"/>
        </w:rPr>
        <w:sectPr>
          <w:pgSz w:w="11906" w:h="16838"/>
          <w:pgMar w:top="1440" w:right="1531" w:bottom="1440" w:left="1077" w:header="851" w:footer="992" w:gutter="0"/>
          <w:pgNumType w:fmt="numberInDash"/>
          <w:cols w:space="0" w:num="1"/>
          <w:docGrid w:type="lines" w:linePitch="317" w:charSpace="0"/>
        </w:sectPr>
      </w:pPr>
    </w:p>
    <w:tbl>
      <w:tblPr>
        <w:tblStyle w:val="7"/>
        <w:tblW w:w="10485" w:type="dxa"/>
        <w:tblInd w:w="-13" w:type="dxa"/>
        <w:tblLayout w:type="fixed"/>
        <w:tblCellMar>
          <w:top w:w="15" w:type="dxa"/>
          <w:left w:w="15" w:type="dxa"/>
          <w:bottom w:w="15" w:type="dxa"/>
          <w:right w:w="15" w:type="dxa"/>
        </w:tblCellMar>
      </w:tblPr>
      <w:tblGrid>
        <w:gridCol w:w="715"/>
        <w:gridCol w:w="935"/>
        <w:gridCol w:w="1794"/>
        <w:gridCol w:w="1620"/>
        <w:gridCol w:w="754"/>
        <w:gridCol w:w="117"/>
        <w:gridCol w:w="1677"/>
        <w:gridCol w:w="1163"/>
        <w:gridCol w:w="1710"/>
      </w:tblGrid>
      <w:tr>
        <w:tblPrEx>
          <w:tblLayout w:type="fixed"/>
          <w:tblCellMar>
            <w:top w:w="15" w:type="dxa"/>
            <w:left w:w="15" w:type="dxa"/>
            <w:bottom w:w="15" w:type="dxa"/>
            <w:right w:w="15" w:type="dxa"/>
          </w:tblCellMar>
        </w:tblPrEx>
        <w:trPr>
          <w:trHeight w:val="375" w:hRule="atLeast"/>
        </w:trPr>
        <w:tc>
          <w:tcPr>
            <w:tcW w:w="10485" w:type="dxa"/>
            <w:gridSpan w:val="9"/>
            <w:vAlign w:val="bottom"/>
          </w:tcPr>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一般公共预算财政拨款基本支出决算表</w:t>
            </w:r>
          </w:p>
        </w:tc>
      </w:tr>
      <w:tr>
        <w:tblPrEx>
          <w:tblLayout w:type="fixed"/>
          <w:tblCellMar>
            <w:top w:w="15" w:type="dxa"/>
            <w:left w:w="15" w:type="dxa"/>
            <w:bottom w:w="15" w:type="dxa"/>
            <w:right w:w="15" w:type="dxa"/>
          </w:tblCellMar>
        </w:tblPrEx>
        <w:trPr>
          <w:trHeight w:val="285" w:hRule="atLeast"/>
        </w:trPr>
        <w:tc>
          <w:tcPr>
            <w:tcW w:w="1650" w:type="dxa"/>
            <w:gridSpan w:val="2"/>
            <w:vAlign w:val="center"/>
          </w:tcPr>
          <w:p>
            <w:pPr>
              <w:rPr>
                <w:rFonts w:ascii="宋体" w:cs="Times New Roman"/>
                <w:color w:val="000000"/>
                <w:sz w:val="16"/>
                <w:szCs w:val="16"/>
              </w:rPr>
            </w:pPr>
          </w:p>
        </w:tc>
        <w:tc>
          <w:tcPr>
            <w:tcW w:w="1794" w:type="dxa"/>
            <w:vAlign w:val="center"/>
          </w:tcPr>
          <w:p>
            <w:pPr>
              <w:rPr>
                <w:rFonts w:ascii="宋体" w:cs="Times New Roman"/>
                <w:color w:val="000000"/>
                <w:sz w:val="16"/>
                <w:szCs w:val="16"/>
              </w:rPr>
            </w:pPr>
          </w:p>
        </w:tc>
        <w:tc>
          <w:tcPr>
            <w:tcW w:w="1620" w:type="dxa"/>
            <w:vAlign w:val="center"/>
          </w:tcPr>
          <w:p>
            <w:pPr>
              <w:rPr>
                <w:rFonts w:ascii="宋体" w:cs="Times New Roman"/>
                <w:color w:val="000000"/>
                <w:sz w:val="16"/>
                <w:szCs w:val="16"/>
              </w:rPr>
            </w:pPr>
          </w:p>
        </w:tc>
        <w:tc>
          <w:tcPr>
            <w:tcW w:w="754" w:type="dxa"/>
            <w:vAlign w:val="center"/>
          </w:tcPr>
          <w:p>
            <w:pPr>
              <w:rPr>
                <w:rFonts w:ascii="宋体" w:cs="Times New Roman"/>
                <w:color w:val="000000"/>
                <w:sz w:val="16"/>
                <w:szCs w:val="16"/>
              </w:rPr>
            </w:pPr>
          </w:p>
        </w:tc>
        <w:tc>
          <w:tcPr>
            <w:tcW w:w="1794" w:type="dxa"/>
            <w:gridSpan w:val="2"/>
            <w:vAlign w:val="center"/>
          </w:tcPr>
          <w:p>
            <w:pPr>
              <w:rPr>
                <w:rFonts w:ascii="宋体" w:cs="Times New Roman"/>
                <w:color w:val="000000"/>
                <w:sz w:val="16"/>
                <w:szCs w:val="16"/>
              </w:rPr>
            </w:pPr>
          </w:p>
        </w:tc>
        <w:tc>
          <w:tcPr>
            <w:tcW w:w="2873"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06</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650" w:type="dxa"/>
            <w:gridSpan w:val="2"/>
            <w:vAlign w:val="center"/>
          </w:tcPr>
          <w:p>
            <w:pPr>
              <w:rPr>
                <w:rFonts w:ascii="宋体" w:cs="Times New Roman"/>
                <w:color w:val="000000"/>
                <w:sz w:val="16"/>
                <w:szCs w:val="16"/>
              </w:rPr>
            </w:pPr>
            <w:r>
              <w:rPr>
                <w:rFonts w:hint="eastAsia" w:ascii="宋体" w:cs="Times New Roman"/>
                <w:color w:val="000000"/>
                <w:sz w:val="16"/>
                <w:szCs w:val="16"/>
              </w:rPr>
              <w:t>单位：焦作西部产业集</w:t>
            </w:r>
          </w:p>
        </w:tc>
        <w:tc>
          <w:tcPr>
            <w:tcW w:w="1794" w:type="dxa"/>
            <w:vAlign w:val="center"/>
          </w:tcPr>
          <w:p>
            <w:pPr>
              <w:rPr>
                <w:rFonts w:ascii="宋体" w:cs="Times New Roman"/>
                <w:color w:val="000000"/>
                <w:sz w:val="16"/>
                <w:szCs w:val="16"/>
              </w:rPr>
            </w:pPr>
            <w:r>
              <w:rPr>
                <w:rFonts w:hint="eastAsia" w:ascii="宋体" w:cs="Times New Roman"/>
                <w:color w:val="000000"/>
                <w:sz w:val="16"/>
                <w:szCs w:val="16"/>
              </w:rPr>
              <w:t>聚区管委会</w:t>
            </w:r>
          </w:p>
        </w:tc>
        <w:tc>
          <w:tcPr>
            <w:tcW w:w="1620" w:type="dxa"/>
            <w:vAlign w:val="center"/>
          </w:tcPr>
          <w:p>
            <w:pPr>
              <w:rPr>
                <w:rFonts w:ascii="宋体" w:cs="Times New Roman"/>
                <w:color w:val="000000"/>
                <w:sz w:val="16"/>
                <w:szCs w:val="16"/>
              </w:rPr>
            </w:pPr>
          </w:p>
        </w:tc>
        <w:tc>
          <w:tcPr>
            <w:tcW w:w="754" w:type="dxa"/>
            <w:vAlign w:val="center"/>
          </w:tcPr>
          <w:p>
            <w:pPr>
              <w:rPr>
                <w:rFonts w:ascii="宋体" w:cs="Times New Roman"/>
                <w:color w:val="000000"/>
                <w:sz w:val="16"/>
                <w:szCs w:val="16"/>
              </w:rPr>
            </w:pPr>
          </w:p>
        </w:tc>
        <w:tc>
          <w:tcPr>
            <w:tcW w:w="1794" w:type="dxa"/>
            <w:gridSpan w:val="2"/>
            <w:vAlign w:val="center"/>
          </w:tcPr>
          <w:p>
            <w:pPr>
              <w:rPr>
                <w:rFonts w:ascii="宋体" w:cs="Times New Roman"/>
                <w:color w:val="000000"/>
                <w:sz w:val="16"/>
                <w:szCs w:val="16"/>
              </w:rPr>
            </w:pPr>
          </w:p>
        </w:tc>
        <w:tc>
          <w:tcPr>
            <w:tcW w:w="2873" w:type="dxa"/>
            <w:gridSpan w:val="2"/>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064"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人员经费</w:t>
            </w:r>
          </w:p>
        </w:tc>
        <w:tc>
          <w:tcPr>
            <w:tcW w:w="5421" w:type="dxa"/>
            <w:gridSpan w:val="5"/>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公用经费</w:t>
            </w:r>
          </w:p>
        </w:tc>
      </w:tr>
      <w:tr>
        <w:tblPrEx>
          <w:tblLayout w:type="fixed"/>
          <w:tblCellMar>
            <w:top w:w="15" w:type="dxa"/>
            <w:left w:w="15" w:type="dxa"/>
            <w:bottom w:w="15" w:type="dxa"/>
            <w:right w:w="15" w:type="dxa"/>
          </w:tblCellMar>
        </w:tblPrEx>
        <w:trPr>
          <w:trHeight w:val="6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kern w:val="0"/>
                <w:sz w:val="16"/>
                <w:szCs w:val="16"/>
              </w:rPr>
            </w:pPr>
            <w:r>
              <w:rPr>
                <w:rFonts w:hint="eastAsia" w:ascii="宋体" w:hAnsi="宋体" w:cs="宋体"/>
                <w:b/>
                <w:bCs/>
                <w:color w:val="000000"/>
                <w:kern w:val="0"/>
                <w:sz w:val="16"/>
                <w:szCs w:val="16"/>
              </w:rPr>
              <w:t>经济分类</w:t>
            </w:r>
          </w:p>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科目编码</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kern w:val="0"/>
                <w:sz w:val="16"/>
                <w:szCs w:val="16"/>
              </w:rPr>
            </w:pPr>
            <w:r>
              <w:rPr>
                <w:rFonts w:hint="eastAsia" w:ascii="宋体" w:hAnsi="宋体" w:cs="宋体"/>
                <w:b/>
                <w:bCs/>
                <w:color w:val="000000"/>
                <w:kern w:val="0"/>
                <w:sz w:val="16"/>
                <w:szCs w:val="16"/>
              </w:rPr>
              <w:t>经济分类</w:t>
            </w:r>
          </w:p>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科目编码</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金额</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126.88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302</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商品和服务支出</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33.90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基本工资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104.79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30201</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办公费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3.39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津贴补贴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30202</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印刷费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0.6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奖金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30203</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咨询费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其他社会保障缴费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2.89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30204</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手续费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伙食补助费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0.97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30205</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水费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0.21 </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绩效工资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18.22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30206</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电费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0.08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机关事业单位基本养老保险缴费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30207</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邮电费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6.89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职业年金缴费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30208</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取暖费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30199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30209</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物业管理费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对个人和家庭的补助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13.10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30211</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差旅费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0.61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离休费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30212</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因公出国</w:t>
            </w:r>
            <w:r>
              <w:rPr>
                <w:rFonts w:ascii="宋体" w:hAnsi="宋体" w:cs="宋体"/>
                <w:color w:val="000000"/>
                <w:kern w:val="0"/>
                <w:sz w:val="16"/>
                <w:szCs w:val="16"/>
              </w:rPr>
              <w:t>(</w:t>
            </w:r>
            <w:r>
              <w:rPr>
                <w:rFonts w:hint="eastAsia" w:ascii="宋体" w:hAnsi="宋体" w:cs="宋体"/>
                <w:color w:val="000000"/>
                <w:kern w:val="0"/>
                <w:sz w:val="16"/>
                <w:szCs w:val="16"/>
              </w:rPr>
              <w:t>境</w:t>
            </w:r>
            <w:r>
              <w:rPr>
                <w:rFonts w:ascii="宋体" w:hAnsi="宋体" w:cs="宋体"/>
                <w:color w:val="000000"/>
                <w:kern w:val="0"/>
                <w:sz w:val="16"/>
                <w:szCs w:val="16"/>
              </w:rPr>
              <w:t>)</w:t>
            </w:r>
            <w:r>
              <w:rPr>
                <w:rFonts w:hint="eastAsia" w:ascii="宋体" w:hAnsi="宋体" w:cs="宋体"/>
                <w:color w:val="000000"/>
                <w:kern w:val="0"/>
                <w:sz w:val="16"/>
                <w:szCs w:val="16"/>
              </w:rPr>
              <w:t>费用</w:t>
            </w:r>
            <w:r>
              <w:rPr>
                <w:rFonts w:ascii="宋体" w:hAnsi="宋体" w:cs="宋体"/>
                <w:color w:val="000000"/>
                <w:kern w:val="0"/>
                <w:sz w:val="16"/>
                <w:szCs w:val="16"/>
              </w:rPr>
              <w:t xml:space="preserve"> </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退休费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3.81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30213</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维修</w:t>
            </w:r>
            <w:r>
              <w:rPr>
                <w:rFonts w:ascii="宋体" w:hAnsi="宋体" w:cs="宋体"/>
                <w:color w:val="000000"/>
                <w:kern w:val="0"/>
                <w:sz w:val="16"/>
                <w:szCs w:val="16"/>
              </w:rPr>
              <w:t>(</w:t>
            </w:r>
            <w:r>
              <w:rPr>
                <w:rFonts w:hint="eastAsia" w:ascii="宋体" w:hAnsi="宋体" w:cs="宋体"/>
                <w:color w:val="000000"/>
                <w:kern w:val="0"/>
                <w:sz w:val="16"/>
                <w:szCs w:val="16"/>
              </w:rPr>
              <w:t>护</w:t>
            </w:r>
            <w:r>
              <w:rPr>
                <w:rFonts w:ascii="宋体" w:hAnsi="宋体" w:cs="宋体"/>
                <w:color w:val="000000"/>
                <w:kern w:val="0"/>
                <w:sz w:val="16"/>
                <w:szCs w:val="16"/>
              </w:rPr>
              <w:t>)</w:t>
            </w:r>
            <w:r>
              <w:rPr>
                <w:rFonts w:hint="eastAsia" w:ascii="宋体" w:hAnsi="宋体" w:cs="宋体"/>
                <w:color w:val="000000"/>
                <w:kern w:val="0"/>
                <w:sz w:val="16"/>
                <w:szCs w:val="16"/>
              </w:rPr>
              <w:t>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0.13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退职</w:t>
            </w:r>
            <w:r>
              <w:rPr>
                <w:rFonts w:ascii="宋体" w:hAnsi="宋体" w:cs="宋体"/>
                <w:color w:val="000000"/>
                <w:kern w:val="0"/>
                <w:sz w:val="16"/>
                <w:szCs w:val="16"/>
              </w:rPr>
              <w:t>(</w:t>
            </w:r>
            <w:r>
              <w:rPr>
                <w:rFonts w:hint="eastAsia" w:ascii="宋体" w:hAnsi="宋体" w:cs="宋体"/>
                <w:color w:val="000000"/>
                <w:kern w:val="0"/>
                <w:sz w:val="16"/>
                <w:szCs w:val="16"/>
              </w:rPr>
              <w:t>役</w:t>
            </w:r>
            <w:r>
              <w:rPr>
                <w:rFonts w:ascii="宋体" w:hAnsi="宋体" w:cs="宋体"/>
                <w:color w:val="000000"/>
                <w:kern w:val="0"/>
                <w:sz w:val="16"/>
                <w:szCs w:val="16"/>
              </w:rPr>
              <w:t>)</w:t>
            </w:r>
            <w:r>
              <w:rPr>
                <w:rFonts w:hint="eastAsia" w:ascii="宋体" w:hAnsi="宋体" w:cs="宋体"/>
                <w:color w:val="000000"/>
                <w:kern w:val="0"/>
                <w:sz w:val="16"/>
                <w:szCs w:val="16"/>
              </w:rPr>
              <w:t>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30214</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租赁费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抚恤金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30215</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会议费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0.05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生活补助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30216</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培训费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0.56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救济费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30217</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公务接待费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3.39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医疗费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30218</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专用材料费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助学金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30224</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被装购置费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奖励金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30225</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专用燃料费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30310</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生产补贴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30226</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劳务费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4.45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住房公积金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9.29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30227</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委托业务费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提租补贴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30228</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工会经费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购房补贴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30229</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福利费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采暖补贴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30231</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公务用车运行维护费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13.44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30315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物业服务补贴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30239</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其他交通费用</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0.1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30399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其他对个人和家庭的补助支出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30240</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税金及附加费用</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30299</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其他商品和服务支出</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30224</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被装购置费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30225</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专用燃料费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30226</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劳务费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30227</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委托业务费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30228</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工会经费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30229</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福利费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30231</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公务用车运行维护费</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30239</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其他交通费用</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30240</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税金及附加费用</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30299</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其他商品和服务支出</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b/>
                <w:bCs/>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b/>
                <w:bCs/>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b/>
                <w:bCs/>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ascii="宋体" w:hAnsi="宋体" w:cs="宋体"/>
                <w:b/>
                <w:bCs/>
                <w:color w:val="000000"/>
                <w:kern w:val="0"/>
                <w:sz w:val="16"/>
                <w:szCs w:val="16"/>
              </w:rPr>
              <w:t>310</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r>
              <w:rPr>
                <w:rFonts w:hint="eastAsia" w:ascii="宋体" w:hAnsi="宋体" w:cs="宋体"/>
                <w:b/>
                <w:bCs/>
                <w:color w:val="000000"/>
                <w:kern w:val="0"/>
                <w:sz w:val="16"/>
                <w:szCs w:val="16"/>
              </w:rPr>
              <w:t>其他资本性支出</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1.83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31001</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房屋建筑物购建</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31002</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办公设备购置</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1.83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31003</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专用设备购置</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31005</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基础设施建设</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31006</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大型修缮</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31007</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信息网络及软件购置更新</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31008</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物资储备</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31009</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土地补偿</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31010</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安置补助</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31011</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地上附着物和青苗补偿</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31012</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拆迁补偿</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31013</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公务用车购置</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31019</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其他交通工具购置</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Times New Roman"/>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Times New Roman"/>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31020</w:t>
            </w:r>
          </w:p>
        </w:tc>
        <w:tc>
          <w:tcPr>
            <w:tcW w:w="2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产权参股</w:t>
            </w:r>
          </w:p>
        </w:tc>
        <w:tc>
          <w:tcPr>
            <w:tcW w:w="171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300" w:hRule="atLeast"/>
        </w:trPr>
        <w:tc>
          <w:tcPr>
            <w:tcW w:w="715" w:type="dxa"/>
            <w:tcBorders>
              <w:top w:val="single" w:color="000000" w:sz="4" w:space="0"/>
              <w:left w:val="single" w:color="000000" w:sz="12" w:space="0"/>
              <w:bottom w:val="single" w:color="000000" w:sz="12" w:space="0"/>
              <w:right w:val="single" w:color="000000" w:sz="4" w:space="0"/>
            </w:tcBorders>
            <w:vAlign w:val="center"/>
          </w:tcPr>
          <w:p>
            <w:pPr>
              <w:jc w:val="left"/>
              <w:rPr>
                <w:rFonts w:ascii="宋体" w:cs="Times New Roman"/>
                <w:color w:val="000000"/>
                <w:sz w:val="16"/>
                <w:szCs w:val="16"/>
              </w:rPr>
            </w:pPr>
          </w:p>
        </w:tc>
        <w:tc>
          <w:tcPr>
            <w:tcW w:w="2729" w:type="dxa"/>
            <w:gridSpan w:val="2"/>
            <w:tcBorders>
              <w:top w:val="single" w:color="000000" w:sz="4" w:space="0"/>
              <w:left w:val="single" w:color="000000" w:sz="4" w:space="0"/>
              <w:bottom w:val="single" w:color="000000" w:sz="12" w:space="0"/>
              <w:right w:val="single" w:color="000000" w:sz="4" w:space="0"/>
            </w:tcBorders>
            <w:vAlign w:val="center"/>
          </w:tcPr>
          <w:p>
            <w:pPr>
              <w:jc w:val="left"/>
              <w:rPr>
                <w:rFonts w:ascii="宋体" w:cs="Times New Roman"/>
                <w:color w:val="000000"/>
                <w:sz w:val="16"/>
                <w:szCs w:val="16"/>
              </w:rPr>
            </w:pPr>
            <w:r>
              <w:rPr>
                <w:rFonts w:hint="eastAsia" w:ascii="宋体" w:cs="Times New Roman"/>
                <w:color w:val="000000"/>
                <w:sz w:val="16"/>
                <w:szCs w:val="16"/>
              </w:rPr>
              <w:t>人员经费合计</w:t>
            </w:r>
          </w:p>
        </w:tc>
        <w:tc>
          <w:tcPr>
            <w:tcW w:w="1620"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139.97</w:t>
            </w:r>
          </w:p>
        </w:tc>
        <w:tc>
          <w:tcPr>
            <w:tcW w:w="871"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p>
        </w:tc>
        <w:tc>
          <w:tcPr>
            <w:tcW w:w="2840"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公用经费合计</w:t>
            </w:r>
          </w:p>
        </w:tc>
        <w:tc>
          <w:tcPr>
            <w:tcW w:w="171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35.73 </w:t>
            </w:r>
          </w:p>
        </w:tc>
      </w:tr>
      <w:tr>
        <w:tblPrEx>
          <w:tblLayout w:type="fixed"/>
        </w:tblPrEx>
        <w:trPr>
          <w:trHeight w:val="477" w:hRule="atLeast"/>
        </w:trPr>
        <w:tc>
          <w:tcPr>
            <w:tcW w:w="10485" w:type="dxa"/>
            <w:gridSpan w:val="9"/>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注：本表反映部门本年度一般公共预算财政拨款基本支出明细情况。</w:t>
            </w:r>
          </w:p>
        </w:tc>
      </w:tr>
    </w:tbl>
    <w:p>
      <w:pPr>
        <w:spacing w:line="360" w:lineRule="auto"/>
        <w:jc w:val="center"/>
        <w:rPr>
          <w:rFonts w:ascii="隶书" w:hAnsi="隶书" w:eastAsia="隶书" w:cs="Times New Roman"/>
          <w:sz w:val="52"/>
          <w:szCs w:val="52"/>
        </w:rPr>
        <w:sectPr>
          <w:pgSz w:w="11906" w:h="16838"/>
          <w:pgMar w:top="1440" w:right="1531" w:bottom="1440" w:left="1077" w:header="851" w:footer="992" w:gutter="0"/>
          <w:pgNumType w:fmt="numberInDash"/>
          <w:cols w:space="0" w:num="1"/>
          <w:docGrid w:type="lines" w:linePitch="317" w:charSpace="0"/>
        </w:sectPr>
      </w:pPr>
    </w:p>
    <w:tbl>
      <w:tblPr>
        <w:tblStyle w:val="7"/>
        <w:tblW w:w="10485" w:type="dxa"/>
        <w:tblInd w:w="-13" w:type="dxa"/>
        <w:tblLayout w:type="fixed"/>
        <w:tblCellMar>
          <w:top w:w="15" w:type="dxa"/>
          <w:left w:w="15" w:type="dxa"/>
          <w:bottom w:w="15" w:type="dxa"/>
          <w:right w:w="15" w:type="dxa"/>
        </w:tblCellMar>
      </w:tblPr>
      <w:tblGrid>
        <w:gridCol w:w="922"/>
        <w:gridCol w:w="861"/>
        <w:gridCol w:w="62"/>
        <w:gridCol w:w="585"/>
        <w:gridCol w:w="115"/>
        <w:gridCol w:w="514"/>
        <w:gridCol w:w="336"/>
        <w:gridCol w:w="294"/>
        <w:gridCol w:w="629"/>
        <w:gridCol w:w="77"/>
        <w:gridCol w:w="915"/>
        <w:gridCol w:w="509"/>
        <w:gridCol w:w="413"/>
        <w:gridCol w:w="234"/>
        <w:gridCol w:w="630"/>
        <w:gridCol w:w="59"/>
        <w:gridCol w:w="571"/>
        <w:gridCol w:w="249"/>
        <w:gridCol w:w="381"/>
        <w:gridCol w:w="439"/>
        <w:gridCol w:w="820"/>
        <w:gridCol w:w="870"/>
      </w:tblGrid>
      <w:tr>
        <w:tblPrEx>
          <w:tblLayout w:type="fixed"/>
          <w:tblCellMar>
            <w:top w:w="15" w:type="dxa"/>
            <w:left w:w="15" w:type="dxa"/>
            <w:bottom w:w="15" w:type="dxa"/>
            <w:right w:w="15" w:type="dxa"/>
          </w:tblCellMar>
        </w:tblPrEx>
        <w:trPr>
          <w:trHeight w:val="375" w:hRule="atLeast"/>
        </w:trPr>
        <w:tc>
          <w:tcPr>
            <w:tcW w:w="10485" w:type="dxa"/>
            <w:gridSpan w:val="22"/>
            <w:vAlign w:val="bottom"/>
          </w:tcPr>
          <w:p>
            <w:pPr>
              <w:widowControl/>
              <w:jc w:val="center"/>
              <w:textAlignment w:val="bottom"/>
              <w:rPr>
                <w:rFonts w:ascii="黑体" w:hAnsi="宋体" w:eastAsia="黑体" w:cs="黑体"/>
                <w:color w:val="000000"/>
                <w:kern w:val="0"/>
                <w:sz w:val="28"/>
                <w:szCs w:val="28"/>
              </w:rPr>
            </w:pPr>
          </w:p>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一般公共预算财政拨款“三公”经费支出决算表</w:t>
            </w:r>
          </w:p>
        </w:tc>
      </w:tr>
      <w:tr>
        <w:tblPrEx>
          <w:tblLayout w:type="fixed"/>
          <w:tblCellMar>
            <w:top w:w="15" w:type="dxa"/>
            <w:left w:w="15" w:type="dxa"/>
            <w:bottom w:w="15" w:type="dxa"/>
            <w:right w:w="15" w:type="dxa"/>
          </w:tblCellMar>
        </w:tblPrEx>
        <w:trPr>
          <w:trHeight w:val="285" w:hRule="atLeast"/>
        </w:trPr>
        <w:tc>
          <w:tcPr>
            <w:tcW w:w="1783" w:type="dxa"/>
            <w:gridSpan w:val="2"/>
            <w:vAlign w:val="center"/>
          </w:tcPr>
          <w:p>
            <w:pPr>
              <w:rPr>
                <w:rFonts w:ascii="宋体" w:cs="Times New Roman"/>
                <w:color w:val="000000"/>
                <w:sz w:val="16"/>
                <w:szCs w:val="16"/>
              </w:rPr>
            </w:pPr>
          </w:p>
        </w:tc>
        <w:tc>
          <w:tcPr>
            <w:tcW w:w="647" w:type="dxa"/>
            <w:gridSpan w:val="2"/>
            <w:vAlign w:val="center"/>
          </w:tcPr>
          <w:p>
            <w:pPr>
              <w:rPr>
                <w:rFonts w:ascii="宋体" w:cs="Times New Roman"/>
                <w:color w:val="000000"/>
                <w:sz w:val="16"/>
                <w:szCs w:val="16"/>
              </w:rPr>
            </w:pPr>
          </w:p>
        </w:tc>
        <w:tc>
          <w:tcPr>
            <w:tcW w:w="629" w:type="dxa"/>
            <w:gridSpan w:val="2"/>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29" w:type="dxa"/>
            <w:vAlign w:val="center"/>
          </w:tcPr>
          <w:p>
            <w:pPr>
              <w:rPr>
                <w:rFonts w:ascii="宋体" w:cs="Times New Roman"/>
                <w:color w:val="000000"/>
                <w:sz w:val="16"/>
                <w:szCs w:val="16"/>
              </w:rPr>
            </w:pPr>
          </w:p>
        </w:tc>
        <w:tc>
          <w:tcPr>
            <w:tcW w:w="992" w:type="dxa"/>
            <w:gridSpan w:val="2"/>
            <w:vAlign w:val="center"/>
          </w:tcPr>
          <w:p>
            <w:pPr>
              <w:rPr>
                <w:rFonts w:ascii="宋体" w:cs="Times New Roman"/>
                <w:color w:val="000000"/>
                <w:sz w:val="16"/>
                <w:szCs w:val="16"/>
              </w:rPr>
            </w:pPr>
          </w:p>
        </w:tc>
        <w:tc>
          <w:tcPr>
            <w:tcW w:w="509" w:type="dxa"/>
            <w:vAlign w:val="center"/>
          </w:tcPr>
          <w:p>
            <w:pPr>
              <w:rPr>
                <w:rFonts w:ascii="宋体" w:cs="Times New Roman"/>
                <w:color w:val="000000"/>
                <w:sz w:val="16"/>
                <w:szCs w:val="16"/>
              </w:rPr>
            </w:pPr>
          </w:p>
        </w:tc>
        <w:tc>
          <w:tcPr>
            <w:tcW w:w="647" w:type="dxa"/>
            <w:gridSpan w:val="2"/>
            <w:vAlign w:val="center"/>
          </w:tcPr>
          <w:p>
            <w:pPr>
              <w:rPr>
                <w:rFonts w:ascii="宋体" w:cs="Times New Roman"/>
                <w:color w:val="000000"/>
                <w:sz w:val="16"/>
                <w:szCs w:val="16"/>
              </w:rPr>
            </w:pPr>
          </w:p>
        </w:tc>
        <w:tc>
          <w:tcPr>
            <w:tcW w:w="630" w:type="dxa"/>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2129" w:type="dxa"/>
            <w:gridSpan w:val="3"/>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07</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783" w:type="dxa"/>
            <w:gridSpan w:val="2"/>
            <w:vAlign w:val="center"/>
          </w:tcPr>
          <w:p>
            <w:pPr>
              <w:rPr>
                <w:rFonts w:ascii="宋体" w:cs="Times New Roman"/>
                <w:color w:val="000000"/>
                <w:sz w:val="16"/>
                <w:szCs w:val="16"/>
              </w:rPr>
            </w:pPr>
            <w:r>
              <w:rPr>
                <w:rFonts w:hint="eastAsia" w:ascii="宋体" w:cs="Times New Roman"/>
                <w:color w:val="000000"/>
                <w:sz w:val="16"/>
                <w:szCs w:val="16"/>
              </w:rPr>
              <w:t>单位：焦作西部产业集聚</w:t>
            </w:r>
          </w:p>
        </w:tc>
        <w:tc>
          <w:tcPr>
            <w:tcW w:w="647" w:type="dxa"/>
            <w:gridSpan w:val="2"/>
            <w:vAlign w:val="center"/>
          </w:tcPr>
          <w:p>
            <w:pPr>
              <w:rPr>
                <w:rFonts w:ascii="宋体" w:cs="Times New Roman"/>
                <w:color w:val="000000"/>
                <w:sz w:val="16"/>
                <w:szCs w:val="16"/>
              </w:rPr>
            </w:pPr>
            <w:r>
              <w:rPr>
                <w:rFonts w:hint="eastAsia" w:ascii="宋体" w:cs="Times New Roman"/>
                <w:color w:val="000000"/>
                <w:sz w:val="16"/>
                <w:szCs w:val="16"/>
              </w:rPr>
              <w:t>管委会</w:t>
            </w:r>
          </w:p>
        </w:tc>
        <w:tc>
          <w:tcPr>
            <w:tcW w:w="629" w:type="dxa"/>
            <w:gridSpan w:val="2"/>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29" w:type="dxa"/>
            <w:vAlign w:val="center"/>
          </w:tcPr>
          <w:p>
            <w:pPr>
              <w:rPr>
                <w:rFonts w:ascii="宋体" w:cs="Times New Roman"/>
                <w:color w:val="000000"/>
                <w:sz w:val="16"/>
                <w:szCs w:val="16"/>
              </w:rPr>
            </w:pPr>
          </w:p>
        </w:tc>
        <w:tc>
          <w:tcPr>
            <w:tcW w:w="992" w:type="dxa"/>
            <w:gridSpan w:val="2"/>
            <w:vAlign w:val="center"/>
          </w:tcPr>
          <w:p>
            <w:pPr>
              <w:rPr>
                <w:rFonts w:ascii="宋体" w:cs="Times New Roman"/>
                <w:color w:val="000000"/>
                <w:sz w:val="16"/>
                <w:szCs w:val="16"/>
              </w:rPr>
            </w:pPr>
          </w:p>
        </w:tc>
        <w:tc>
          <w:tcPr>
            <w:tcW w:w="509" w:type="dxa"/>
            <w:vAlign w:val="center"/>
          </w:tcPr>
          <w:p>
            <w:pPr>
              <w:rPr>
                <w:rFonts w:ascii="宋体" w:cs="Times New Roman"/>
                <w:color w:val="000000"/>
                <w:sz w:val="16"/>
                <w:szCs w:val="16"/>
              </w:rPr>
            </w:pPr>
          </w:p>
        </w:tc>
        <w:tc>
          <w:tcPr>
            <w:tcW w:w="647" w:type="dxa"/>
            <w:gridSpan w:val="2"/>
            <w:vAlign w:val="center"/>
          </w:tcPr>
          <w:p>
            <w:pPr>
              <w:rPr>
                <w:rFonts w:ascii="宋体" w:cs="Times New Roman"/>
                <w:color w:val="000000"/>
                <w:sz w:val="16"/>
                <w:szCs w:val="16"/>
              </w:rPr>
            </w:pPr>
          </w:p>
        </w:tc>
        <w:tc>
          <w:tcPr>
            <w:tcW w:w="630" w:type="dxa"/>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630" w:type="dxa"/>
            <w:gridSpan w:val="2"/>
            <w:vAlign w:val="center"/>
          </w:tcPr>
          <w:p>
            <w:pPr>
              <w:rPr>
                <w:rFonts w:ascii="宋体" w:cs="Times New Roman"/>
                <w:color w:val="000000"/>
                <w:sz w:val="16"/>
                <w:szCs w:val="16"/>
              </w:rPr>
            </w:pPr>
          </w:p>
        </w:tc>
        <w:tc>
          <w:tcPr>
            <w:tcW w:w="2129" w:type="dxa"/>
            <w:gridSpan w:val="3"/>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310" w:type="dxa"/>
            <w:gridSpan w:val="11"/>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2016</w:t>
            </w:r>
            <w:r>
              <w:rPr>
                <w:rFonts w:hint="eastAsia" w:ascii="宋体" w:hAnsi="宋体" w:cs="宋体"/>
                <w:b/>
                <w:bCs/>
                <w:color w:val="000000"/>
                <w:kern w:val="0"/>
                <w:sz w:val="16"/>
                <w:szCs w:val="16"/>
              </w:rPr>
              <w:t>年度预算数</w:t>
            </w:r>
          </w:p>
        </w:tc>
        <w:tc>
          <w:tcPr>
            <w:tcW w:w="5175" w:type="dxa"/>
            <w:gridSpan w:val="11"/>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2016</w:t>
            </w:r>
            <w:r>
              <w:rPr>
                <w:rFonts w:hint="eastAsia" w:ascii="宋体" w:hAnsi="宋体" w:cs="宋体"/>
                <w:b/>
                <w:bCs/>
                <w:color w:val="000000"/>
                <w:kern w:val="0"/>
                <w:sz w:val="16"/>
                <w:szCs w:val="16"/>
              </w:rPr>
              <w:t>年度决算数</w:t>
            </w:r>
          </w:p>
        </w:tc>
      </w:tr>
      <w:tr>
        <w:tblPrEx>
          <w:tblLayout w:type="fixed"/>
          <w:tblCellMar>
            <w:top w:w="15" w:type="dxa"/>
            <w:left w:w="15" w:type="dxa"/>
            <w:bottom w:w="15" w:type="dxa"/>
            <w:right w:w="15" w:type="dxa"/>
          </w:tblCellMar>
        </w:tblPrEx>
        <w:trPr>
          <w:trHeight w:val="600" w:hRule="atLeast"/>
        </w:trPr>
        <w:tc>
          <w:tcPr>
            <w:tcW w:w="922" w:type="dxa"/>
            <w:vMerge w:val="restart"/>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923"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因公出国（境）费</w:t>
            </w:r>
          </w:p>
        </w:tc>
        <w:tc>
          <w:tcPr>
            <w:tcW w:w="2550"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公务用车购置及运行费</w:t>
            </w:r>
          </w:p>
        </w:tc>
        <w:tc>
          <w:tcPr>
            <w:tcW w:w="91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公务接待费</w:t>
            </w:r>
          </w:p>
        </w:tc>
        <w:tc>
          <w:tcPr>
            <w:tcW w:w="92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923"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因公出国（境）费</w:t>
            </w:r>
          </w:p>
        </w:tc>
        <w:tc>
          <w:tcPr>
            <w:tcW w:w="2460"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公务用车购置及运行费</w:t>
            </w:r>
          </w:p>
        </w:tc>
        <w:tc>
          <w:tcPr>
            <w:tcW w:w="870" w:type="dxa"/>
            <w:vMerge w:val="restart"/>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公务接待费</w:t>
            </w:r>
          </w:p>
        </w:tc>
      </w:tr>
      <w:tr>
        <w:tblPrEx>
          <w:tblLayout w:type="fixed"/>
        </w:tblPrEx>
        <w:trPr>
          <w:trHeight w:val="600" w:hRule="atLeast"/>
        </w:trPr>
        <w:tc>
          <w:tcPr>
            <w:tcW w:w="922"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2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7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小计</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购置费</w:t>
            </w:r>
          </w:p>
        </w:tc>
        <w:tc>
          <w:tcPr>
            <w:tcW w:w="10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运行费</w:t>
            </w:r>
          </w:p>
        </w:tc>
        <w:tc>
          <w:tcPr>
            <w:tcW w:w="91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2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923"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小计</w:t>
            </w: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购置费</w:t>
            </w:r>
          </w:p>
        </w:tc>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公务用车</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运行费</w:t>
            </w:r>
          </w:p>
        </w:tc>
        <w:tc>
          <w:tcPr>
            <w:tcW w:w="870" w:type="dxa"/>
            <w:vMerge w:val="continue"/>
            <w:tcBorders>
              <w:top w:val="single" w:color="000000" w:sz="4"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CellMar>
            <w:top w:w="15" w:type="dxa"/>
            <w:left w:w="15" w:type="dxa"/>
            <w:bottom w:w="15" w:type="dxa"/>
            <w:right w:w="15" w:type="dxa"/>
          </w:tblCellMar>
        </w:tblPrEx>
        <w:trPr>
          <w:trHeight w:val="300" w:hRule="atLeast"/>
        </w:trPr>
        <w:tc>
          <w:tcPr>
            <w:tcW w:w="922"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2</w:t>
            </w:r>
          </w:p>
        </w:tc>
        <w:tc>
          <w:tcPr>
            <w:tcW w:w="7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3</w:t>
            </w:r>
          </w:p>
        </w:tc>
        <w:tc>
          <w:tcPr>
            <w:tcW w:w="8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4</w:t>
            </w:r>
          </w:p>
        </w:tc>
        <w:tc>
          <w:tcPr>
            <w:tcW w:w="100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5</w:t>
            </w:r>
          </w:p>
        </w:tc>
        <w:tc>
          <w:tcPr>
            <w:tcW w:w="9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6</w:t>
            </w:r>
          </w:p>
        </w:tc>
        <w:tc>
          <w:tcPr>
            <w:tcW w:w="92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7</w:t>
            </w:r>
          </w:p>
        </w:tc>
        <w:tc>
          <w:tcPr>
            <w:tcW w:w="92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8</w:t>
            </w: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9</w:t>
            </w:r>
          </w:p>
        </w:tc>
        <w:tc>
          <w:tcPr>
            <w:tcW w:w="8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10</w:t>
            </w:r>
          </w:p>
        </w:tc>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11</w:t>
            </w:r>
          </w:p>
        </w:tc>
        <w:tc>
          <w:tcPr>
            <w:tcW w:w="8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color w:val="000000"/>
                <w:sz w:val="16"/>
                <w:szCs w:val="16"/>
              </w:rPr>
            </w:pPr>
            <w:r>
              <w:rPr>
                <w:rFonts w:ascii="宋体" w:hAnsi="宋体" w:cs="宋体"/>
                <w:color w:val="000000"/>
                <w:kern w:val="0"/>
                <w:sz w:val="16"/>
                <w:szCs w:val="16"/>
              </w:rPr>
              <w:t>12</w:t>
            </w:r>
          </w:p>
        </w:tc>
      </w:tr>
      <w:tr>
        <w:tblPrEx>
          <w:tblLayout w:type="fixed"/>
          <w:tblCellMar>
            <w:top w:w="15" w:type="dxa"/>
            <w:left w:w="15" w:type="dxa"/>
            <w:bottom w:w="15" w:type="dxa"/>
            <w:right w:w="15" w:type="dxa"/>
          </w:tblCellMar>
        </w:tblPrEx>
        <w:trPr>
          <w:trHeight w:val="600" w:hRule="atLeast"/>
        </w:trPr>
        <w:tc>
          <w:tcPr>
            <w:tcW w:w="922" w:type="dxa"/>
            <w:tcBorders>
              <w:top w:val="single" w:color="000000" w:sz="4" w:space="0"/>
              <w:left w:val="single" w:color="000000" w:sz="12" w:space="0"/>
              <w:bottom w:val="single" w:color="000000" w:sz="12" w:space="0"/>
              <w:right w:val="single" w:color="000000" w:sz="4" w:space="0"/>
            </w:tcBorders>
            <w:vAlign w:val="center"/>
          </w:tcPr>
          <w:p>
            <w:pPr>
              <w:jc w:val="right"/>
              <w:rPr>
                <w:rFonts w:ascii="宋体" w:cs="Times New Roman"/>
                <w:b/>
                <w:bCs/>
                <w:color w:val="000000"/>
                <w:sz w:val="16"/>
                <w:szCs w:val="16"/>
              </w:rPr>
            </w:pPr>
            <w:r>
              <w:rPr>
                <w:rFonts w:ascii="宋体" w:cs="Times New Roman"/>
                <w:b/>
                <w:bCs/>
                <w:color w:val="000000"/>
                <w:sz w:val="16"/>
                <w:szCs w:val="16"/>
              </w:rPr>
              <w:t>14.8</w:t>
            </w:r>
          </w:p>
        </w:tc>
        <w:tc>
          <w:tcPr>
            <w:tcW w:w="923"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700"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7.2</w:t>
            </w:r>
          </w:p>
        </w:tc>
        <w:tc>
          <w:tcPr>
            <w:tcW w:w="850"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1000"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7.2</w:t>
            </w:r>
          </w:p>
        </w:tc>
        <w:tc>
          <w:tcPr>
            <w:tcW w:w="915"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7.6</w:t>
            </w:r>
          </w:p>
        </w:tc>
        <w:tc>
          <w:tcPr>
            <w:tcW w:w="922"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b/>
                <w:bCs/>
                <w:color w:val="000000"/>
                <w:sz w:val="16"/>
                <w:szCs w:val="16"/>
              </w:rPr>
            </w:pPr>
            <w:r>
              <w:rPr>
                <w:rFonts w:ascii="宋体" w:cs="Times New Roman"/>
                <w:b/>
                <w:bCs/>
                <w:color w:val="000000"/>
                <w:sz w:val="16"/>
                <w:szCs w:val="16"/>
              </w:rPr>
              <w:t>16.83</w:t>
            </w:r>
          </w:p>
        </w:tc>
        <w:tc>
          <w:tcPr>
            <w:tcW w:w="923" w:type="dxa"/>
            <w:gridSpan w:val="3"/>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820"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13.44</w:t>
            </w:r>
          </w:p>
        </w:tc>
        <w:tc>
          <w:tcPr>
            <w:tcW w:w="820" w:type="dxa"/>
            <w:gridSpan w:val="2"/>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p>
        </w:tc>
        <w:tc>
          <w:tcPr>
            <w:tcW w:w="820"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Times New Roman"/>
                <w:color w:val="000000"/>
                <w:sz w:val="16"/>
                <w:szCs w:val="16"/>
              </w:rPr>
            </w:pPr>
            <w:r>
              <w:rPr>
                <w:rFonts w:ascii="宋体" w:cs="Times New Roman"/>
                <w:color w:val="000000"/>
                <w:sz w:val="16"/>
                <w:szCs w:val="16"/>
              </w:rPr>
              <w:t>13.44</w:t>
            </w:r>
          </w:p>
        </w:tc>
        <w:tc>
          <w:tcPr>
            <w:tcW w:w="870" w:type="dxa"/>
            <w:tcBorders>
              <w:top w:val="single" w:color="000000" w:sz="4" w:space="0"/>
              <w:left w:val="single" w:color="000000" w:sz="4" w:space="0"/>
              <w:bottom w:val="single" w:color="000000" w:sz="12" w:space="0"/>
              <w:right w:val="single" w:color="000000" w:sz="12" w:space="0"/>
            </w:tcBorders>
            <w:vAlign w:val="center"/>
          </w:tcPr>
          <w:p>
            <w:pPr>
              <w:jc w:val="right"/>
              <w:rPr>
                <w:rFonts w:ascii="宋体" w:cs="Times New Roman"/>
                <w:color w:val="000000"/>
                <w:sz w:val="16"/>
                <w:szCs w:val="16"/>
              </w:rPr>
            </w:pPr>
            <w:r>
              <w:rPr>
                <w:rFonts w:ascii="宋体" w:cs="Times New Roman"/>
                <w:color w:val="000000"/>
                <w:sz w:val="16"/>
                <w:szCs w:val="16"/>
              </w:rPr>
              <w:t>3.39</w:t>
            </w:r>
          </w:p>
        </w:tc>
      </w:tr>
      <w:tr>
        <w:tblPrEx>
          <w:tblLayout w:type="fixed"/>
          <w:tblCellMar>
            <w:top w:w="15" w:type="dxa"/>
            <w:left w:w="15" w:type="dxa"/>
            <w:bottom w:w="15" w:type="dxa"/>
            <w:right w:w="15" w:type="dxa"/>
          </w:tblCellMar>
        </w:tblPrEx>
        <w:trPr>
          <w:trHeight w:val="600" w:hRule="atLeast"/>
        </w:trPr>
        <w:tc>
          <w:tcPr>
            <w:tcW w:w="10485" w:type="dxa"/>
            <w:gridSpan w:val="22"/>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注：本表反映部门本年度“三公”经费支出预决算情况。其中，</w:t>
            </w:r>
            <w:r>
              <w:rPr>
                <w:rFonts w:ascii="宋体" w:hAnsi="宋体" w:cs="宋体"/>
                <w:color w:val="000000"/>
                <w:kern w:val="0"/>
                <w:sz w:val="16"/>
                <w:szCs w:val="16"/>
              </w:rPr>
              <w:t>2016</w:t>
            </w:r>
            <w:r>
              <w:rPr>
                <w:rFonts w:hint="eastAsia" w:ascii="宋体" w:hAnsi="宋体" w:cs="宋体"/>
                <w:color w:val="000000"/>
                <w:kern w:val="0"/>
                <w:sz w:val="16"/>
                <w:szCs w:val="16"/>
              </w:rPr>
              <w:t>年度预算数为“三公”经费年初预算数，决算数是包括当年一般公共预算财政拨款和以前年度结转资金安排的实际支出。</w:t>
            </w:r>
          </w:p>
        </w:tc>
      </w:tr>
    </w:tbl>
    <w:p>
      <w:pPr>
        <w:spacing w:line="360" w:lineRule="auto"/>
        <w:jc w:val="center"/>
        <w:rPr>
          <w:rFonts w:ascii="隶书" w:hAnsi="隶书" w:eastAsia="隶书" w:cs="Times New Roman"/>
          <w:sz w:val="52"/>
          <w:szCs w:val="52"/>
        </w:rPr>
        <w:sectPr>
          <w:pgSz w:w="11906" w:h="16838"/>
          <w:pgMar w:top="1440" w:right="1531" w:bottom="1440" w:left="1021" w:header="851" w:footer="992" w:gutter="0"/>
          <w:pgNumType w:fmt="numberInDash"/>
          <w:cols w:space="0" w:num="1"/>
          <w:docGrid w:type="lines" w:linePitch="317" w:charSpace="0"/>
        </w:sectPr>
      </w:pPr>
    </w:p>
    <w:tbl>
      <w:tblPr>
        <w:tblStyle w:val="7"/>
        <w:tblW w:w="10500" w:type="dxa"/>
        <w:tblInd w:w="-13" w:type="dxa"/>
        <w:tblLayout w:type="fixed"/>
        <w:tblCellMar>
          <w:top w:w="15" w:type="dxa"/>
          <w:left w:w="15" w:type="dxa"/>
          <w:bottom w:w="15" w:type="dxa"/>
          <w:right w:w="15" w:type="dxa"/>
        </w:tblCellMar>
      </w:tblPr>
      <w:tblGrid>
        <w:gridCol w:w="705"/>
        <w:gridCol w:w="886"/>
        <w:gridCol w:w="1436"/>
        <w:gridCol w:w="1166"/>
        <w:gridCol w:w="65"/>
        <w:gridCol w:w="1232"/>
        <w:gridCol w:w="751"/>
        <w:gridCol w:w="499"/>
        <w:gridCol w:w="500"/>
        <w:gridCol w:w="750"/>
        <w:gridCol w:w="1250"/>
        <w:gridCol w:w="1260"/>
      </w:tblGrid>
      <w:tr>
        <w:tblPrEx>
          <w:tblLayout w:type="fixed"/>
          <w:tblCellMar>
            <w:top w:w="15" w:type="dxa"/>
            <w:left w:w="15" w:type="dxa"/>
            <w:bottom w:w="15" w:type="dxa"/>
            <w:right w:w="15" w:type="dxa"/>
          </w:tblCellMar>
        </w:tblPrEx>
        <w:trPr>
          <w:trHeight w:val="375" w:hRule="atLeast"/>
        </w:trPr>
        <w:tc>
          <w:tcPr>
            <w:tcW w:w="10500" w:type="dxa"/>
            <w:gridSpan w:val="12"/>
            <w:vAlign w:val="bottom"/>
          </w:tcPr>
          <w:p>
            <w:pPr>
              <w:widowControl/>
              <w:jc w:val="center"/>
              <w:textAlignment w:val="bottom"/>
              <w:rPr>
                <w:rFonts w:ascii="黑体" w:hAnsi="宋体" w:eastAsia="黑体" w:cs="黑体"/>
                <w:color w:val="000000"/>
                <w:kern w:val="0"/>
                <w:sz w:val="28"/>
                <w:szCs w:val="28"/>
              </w:rPr>
            </w:pPr>
          </w:p>
          <w:p>
            <w:pPr>
              <w:widowControl/>
              <w:jc w:val="center"/>
              <w:textAlignment w:val="bottom"/>
              <w:rPr>
                <w:rFonts w:ascii="黑体" w:hAnsi="宋体" w:eastAsia="黑体" w:cs="Times New Roman"/>
                <w:color w:val="000000"/>
                <w:sz w:val="28"/>
                <w:szCs w:val="28"/>
              </w:rPr>
            </w:pPr>
            <w:r>
              <w:rPr>
                <w:rFonts w:hint="eastAsia" w:ascii="黑体" w:hAnsi="宋体" w:eastAsia="黑体" w:cs="黑体"/>
                <w:color w:val="000000"/>
                <w:kern w:val="0"/>
                <w:sz w:val="28"/>
                <w:szCs w:val="28"/>
              </w:rPr>
              <w:t>政府性基金预算财政拨款收入支出决算表</w:t>
            </w:r>
          </w:p>
        </w:tc>
      </w:tr>
      <w:tr>
        <w:tblPrEx>
          <w:tblLayout w:type="fixed"/>
          <w:tblCellMar>
            <w:top w:w="15" w:type="dxa"/>
            <w:left w:w="15" w:type="dxa"/>
            <w:bottom w:w="15" w:type="dxa"/>
            <w:right w:w="15" w:type="dxa"/>
          </w:tblCellMar>
        </w:tblPrEx>
        <w:trPr>
          <w:trHeight w:val="285" w:hRule="atLeast"/>
        </w:trPr>
        <w:tc>
          <w:tcPr>
            <w:tcW w:w="1591" w:type="dxa"/>
            <w:gridSpan w:val="2"/>
            <w:vAlign w:val="center"/>
          </w:tcPr>
          <w:p>
            <w:pPr>
              <w:rPr>
                <w:rFonts w:ascii="宋体" w:cs="Times New Roman"/>
                <w:color w:val="000000"/>
                <w:sz w:val="16"/>
                <w:szCs w:val="16"/>
              </w:rPr>
            </w:pPr>
          </w:p>
        </w:tc>
        <w:tc>
          <w:tcPr>
            <w:tcW w:w="1436" w:type="dxa"/>
            <w:vAlign w:val="center"/>
          </w:tcPr>
          <w:p>
            <w:pPr>
              <w:rPr>
                <w:rFonts w:ascii="宋体" w:cs="Times New Roman"/>
                <w:color w:val="000000"/>
                <w:sz w:val="16"/>
                <w:szCs w:val="16"/>
              </w:rPr>
            </w:pPr>
          </w:p>
        </w:tc>
        <w:tc>
          <w:tcPr>
            <w:tcW w:w="1166" w:type="dxa"/>
            <w:vAlign w:val="center"/>
          </w:tcPr>
          <w:p>
            <w:pPr>
              <w:rPr>
                <w:rFonts w:ascii="宋体" w:cs="Times New Roman"/>
                <w:color w:val="000000"/>
                <w:sz w:val="16"/>
                <w:szCs w:val="16"/>
              </w:rPr>
            </w:pPr>
          </w:p>
        </w:tc>
        <w:tc>
          <w:tcPr>
            <w:tcW w:w="1297" w:type="dxa"/>
            <w:gridSpan w:val="2"/>
            <w:vAlign w:val="center"/>
          </w:tcPr>
          <w:p>
            <w:pPr>
              <w:rPr>
                <w:rFonts w:ascii="宋体" w:cs="Times New Roman"/>
                <w:color w:val="000000"/>
                <w:sz w:val="16"/>
                <w:szCs w:val="16"/>
              </w:rPr>
            </w:pPr>
          </w:p>
        </w:tc>
        <w:tc>
          <w:tcPr>
            <w:tcW w:w="751"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2000" w:type="dxa"/>
            <w:gridSpan w:val="2"/>
            <w:vAlign w:val="center"/>
          </w:tcPr>
          <w:p>
            <w:pPr>
              <w:rPr>
                <w:rFonts w:ascii="宋体" w:cs="Times New Roman"/>
                <w:color w:val="000000"/>
                <w:sz w:val="16"/>
                <w:szCs w:val="16"/>
              </w:rPr>
            </w:pPr>
          </w:p>
        </w:tc>
        <w:tc>
          <w:tcPr>
            <w:tcW w:w="1260"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08</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591" w:type="dxa"/>
            <w:gridSpan w:val="2"/>
            <w:vAlign w:val="center"/>
          </w:tcPr>
          <w:p>
            <w:pPr>
              <w:rPr>
                <w:rFonts w:ascii="宋体" w:cs="Times New Roman"/>
                <w:color w:val="000000"/>
                <w:sz w:val="16"/>
                <w:szCs w:val="16"/>
              </w:rPr>
            </w:pPr>
            <w:r>
              <w:rPr>
                <w:rFonts w:hint="eastAsia" w:ascii="宋体" w:cs="Times New Roman"/>
                <w:color w:val="000000"/>
                <w:sz w:val="16"/>
                <w:szCs w:val="16"/>
              </w:rPr>
              <w:t>单位：焦作西部产业集</w:t>
            </w:r>
          </w:p>
        </w:tc>
        <w:tc>
          <w:tcPr>
            <w:tcW w:w="1436" w:type="dxa"/>
            <w:vAlign w:val="center"/>
          </w:tcPr>
          <w:p>
            <w:pPr>
              <w:rPr>
                <w:rFonts w:ascii="宋体" w:cs="Times New Roman"/>
                <w:color w:val="000000"/>
                <w:sz w:val="16"/>
                <w:szCs w:val="16"/>
              </w:rPr>
            </w:pPr>
            <w:r>
              <w:rPr>
                <w:rFonts w:hint="eastAsia" w:ascii="宋体" w:cs="Times New Roman"/>
                <w:color w:val="000000"/>
                <w:sz w:val="16"/>
                <w:szCs w:val="16"/>
              </w:rPr>
              <w:t>聚区管委会</w:t>
            </w:r>
          </w:p>
        </w:tc>
        <w:tc>
          <w:tcPr>
            <w:tcW w:w="1166" w:type="dxa"/>
            <w:vAlign w:val="center"/>
          </w:tcPr>
          <w:p>
            <w:pPr>
              <w:rPr>
                <w:rFonts w:ascii="宋体" w:cs="Times New Roman"/>
                <w:color w:val="000000"/>
                <w:sz w:val="16"/>
                <w:szCs w:val="16"/>
              </w:rPr>
            </w:pPr>
          </w:p>
        </w:tc>
        <w:tc>
          <w:tcPr>
            <w:tcW w:w="1297" w:type="dxa"/>
            <w:gridSpan w:val="2"/>
            <w:vAlign w:val="center"/>
          </w:tcPr>
          <w:p>
            <w:pPr>
              <w:rPr>
                <w:rFonts w:ascii="宋体" w:cs="Times New Roman"/>
                <w:color w:val="000000"/>
                <w:sz w:val="16"/>
                <w:szCs w:val="16"/>
              </w:rPr>
            </w:pPr>
          </w:p>
        </w:tc>
        <w:tc>
          <w:tcPr>
            <w:tcW w:w="751" w:type="dxa"/>
            <w:vAlign w:val="center"/>
          </w:tcPr>
          <w:p>
            <w:pPr>
              <w:rPr>
                <w:rFonts w:ascii="宋体" w:cs="Times New Roman"/>
                <w:color w:val="000000"/>
                <w:sz w:val="16"/>
                <w:szCs w:val="16"/>
              </w:rPr>
            </w:pPr>
          </w:p>
        </w:tc>
        <w:tc>
          <w:tcPr>
            <w:tcW w:w="999" w:type="dxa"/>
            <w:gridSpan w:val="2"/>
            <w:vAlign w:val="center"/>
          </w:tcPr>
          <w:p>
            <w:pPr>
              <w:rPr>
                <w:rFonts w:ascii="宋体" w:cs="Times New Roman"/>
                <w:color w:val="000000"/>
                <w:sz w:val="16"/>
                <w:szCs w:val="16"/>
              </w:rPr>
            </w:pPr>
          </w:p>
        </w:tc>
        <w:tc>
          <w:tcPr>
            <w:tcW w:w="2000" w:type="dxa"/>
            <w:gridSpan w:val="2"/>
            <w:vAlign w:val="center"/>
          </w:tcPr>
          <w:p>
            <w:pPr>
              <w:rPr>
                <w:rFonts w:ascii="宋体" w:cs="Times New Roman"/>
                <w:color w:val="000000"/>
                <w:sz w:val="16"/>
                <w:szCs w:val="16"/>
              </w:rPr>
            </w:pPr>
          </w:p>
        </w:tc>
        <w:tc>
          <w:tcPr>
            <w:tcW w:w="1260" w:type="dxa"/>
            <w:vAlign w:val="center"/>
          </w:tcPr>
          <w:p>
            <w:pPr>
              <w:widowControl/>
              <w:jc w:val="right"/>
              <w:textAlignment w:val="center"/>
              <w:rPr>
                <w:rFonts w:ascii="宋体" w:cs="Times New Roman"/>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3027"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　　目</w:t>
            </w:r>
          </w:p>
        </w:tc>
        <w:tc>
          <w:tcPr>
            <w:tcW w:w="1231"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年初结转和结余</w:t>
            </w:r>
          </w:p>
        </w:tc>
        <w:tc>
          <w:tcPr>
            <w:tcW w:w="1232"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本年收入</w:t>
            </w:r>
          </w:p>
        </w:tc>
        <w:tc>
          <w:tcPr>
            <w:tcW w:w="3750" w:type="dxa"/>
            <w:gridSpan w:val="5"/>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本年支出</w:t>
            </w:r>
          </w:p>
        </w:tc>
        <w:tc>
          <w:tcPr>
            <w:tcW w:w="1260"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年末结转和结余</w:t>
            </w:r>
          </w:p>
        </w:tc>
      </w:tr>
      <w:tr>
        <w:tblPrEx>
          <w:tblLayout w:type="fixed"/>
          <w:tblCellMar>
            <w:top w:w="15" w:type="dxa"/>
            <w:left w:w="15" w:type="dxa"/>
            <w:bottom w:w="15" w:type="dxa"/>
            <w:right w:w="15" w:type="dxa"/>
          </w:tblCellMar>
        </w:tblPrEx>
        <w:trPr>
          <w:trHeight w:val="42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功能分类</w:t>
            </w:r>
            <w:r>
              <w:rPr>
                <w:rFonts w:ascii="宋体" w:cs="Times New Roman"/>
                <w:b/>
                <w:bCs/>
                <w:color w:val="000000"/>
                <w:kern w:val="0"/>
                <w:sz w:val="16"/>
                <w:szCs w:val="16"/>
              </w:rPr>
              <w:br w:type="textWrapping"/>
            </w:r>
            <w:r>
              <w:rPr>
                <w:rFonts w:hint="eastAsia" w:ascii="宋体" w:hAnsi="宋体" w:cs="宋体"/>
                <w:b/>
                <w:bCs/>
                <w:color w:val="000000"/>
                <w:kern w:val="0"/>
                <w:sz w:val="16"/>
                <w:szCs w:val="16"/>
              </w:rPr>
              <w:t>科目编码</w:t>
            </w: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科目名称</w:t>
            </w:r>
          </w:p>
        </w:tc>
        <w:tc>
          <w:tcPr>
            <w:tcW w:w="1231"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32"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Times New Roman"/>
                <w:b/>
                <w:bCs/>
                <w:color w:val="00000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小计</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基本支出</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项目支出</w:t>
            </w:r>
          </w:p>
        </w:tc>
        <w:tc>
          <w:tcPr>
            <w:tcW w:w="1260"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Times New Roman"/>
                <w:b/>
                <w:bCs/>
                <w:color w:val="000000"/>
                <w:sz w:val="16"/>
                <w:szCs w:val="16"/>
              </w:rPr>
            </w:pPr>
          </w:p>
        </w:tc>
      </w:tr>
      <w:tr>
        <w:tblPrEx>
          <w:tblLayout w:type="fixed"/>
        </w:tblPrEx>
        <w:trPr>
          <w:trHeight w:val="285" w:hRule="atLeast"/>
        </w:trPr>
        <w:tc>
          <w:tcPr>
            <w:tcW w:w="3027"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栏次</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1</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2</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3</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4</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5</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Times New Roman"/>
                <w:b/>
                <w:bCs/>
                <w:color w:val="000000"/>
                <w:sz w:val="16"/>
                <w:szCs w:val="16"/>
              </w:rPr>
            </w:pPr>
            <w:r>
              <w:rPr>
                <w:rFonts w:ascii="宋体" w:hAnsi="宋体" w:cs="宋体"/>
                <w:b/>
                <w:bCs/>
                <w:color w:val="000000"/>
                <w:kern w:val="0"/>
                <w:sz w:val="16"/>
                <w:szCs w:val="16"/>
              </w:rPr>
              <w:t>6</w:t>
            </w:r>
          </w:p>
        </w:tc>
      </w:tr>
      <w:tr>
        <w:tblPrEx>
          <w:tblLayout w:type="fixed"/>
          <w:tblCellMar>
            <w:top w:w="15" w:type="dxa"/>
            <w:left w:w="15" w:type="dxa"/>
            <w:bottom w:w="15" w:type="dxa"/>
            <w:right w:w="15" w:type="dxa"/>
          </w:tblCellMar>
        </w:tblPrEx>
        <w:trPr>
          <w:trHeight w:val="285" w:hRule="atLeast"/>
        </w:trPr>
        <w:tc>
          <w:tcPr>
            <w:tcW w:w="3027"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Times New Roman"/>
                <w:b/>
                <w:bCs/>
                <w:color w:val="000000"/>
                <w:sz w:val="16"/>
                <w:szCs w:val="16"/>
              </w:rPr>
            </w:pPr>
            <w:r>
              <w:rPr>
                <w:rFonts w:hint="eastAsia" w:ascii="宋体" w:hAnsi="宋体" w:cs="宋体"/>
                <w:b/>
                <w:bCs/>
                <w:color w:val="000000"/>
                <w:kern w:val="0"/>
                <w:sz w:val="16"/>
                <w:szCs w:val="16"/>
              </w:rPr>
              <w:t>合计</w:t>
            </w: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42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42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b/>
                <w:bCs/>
                <w:color w:val="00000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b/>
                <w:bCs/>
                <w:color w:val="000000"/>
                <w:sz w:val="16"/>
                <w:szCs w:val="16"/>
              </w:rPr>
            </w:pPr>
            <w:r>
              <w:rPr>
                <w:rFonts w:ascii="宋体" w:hAnsi="宋体" w:cs="宋体"/>
                <w:b/>
                <w:bCs/>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sz w:val="16"/>
                <w:szCs w:val="16"/>
              </w:rPr>
            </w:pP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PrEx>
        <w:trPr>
          <w:trHeight w:val="285"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2322"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Times New Roman"/>
                <w:color w:val="000000"/>
                <w:kern w:val="0"/>
                <w:sz w:val="16"/>
                <w:szCs w:val="16"/>
              </w:rPr>
            </w:pPr>
          </w:p>
        </w:tc>
        <w:tc>
          <w:tcPr>
            <w:tcW w:w="1231"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3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5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Times New Roman"/>
                <w:color w:val="000000"/>
                <w:kern w:val="0"/>
                <w:sz w:val="16"/>
                <w:szCs w:val="16"/>
              </w:rPr>
            </w:pPr>
          </w:p>
        </w:tc>
        <w:tc>
          <w:tcPr>
            <w:tcW w:w="126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Times New Roman"/>
                <w:color w:val="000000"/>
                <w:kern w:val="0"/>
                <w:sz w:val="16"/>
                <w:szCs w:val="16"/>
              </w:rPr>
            </w:pPr>
          </w:p>
        </w:tc>
      </w:tr>
      <w:tr>
        <w:tblPrEx>
          <w:tblLayout w:type="fixed"/>
          <w:tblCellMar>
            <w:top w:w="15" w:type="dxa"/>
            <w:left w:w="15" w:type="dxa"/>
            <w:bottom w:w="15" w:type="dxa"/>
            <w:right w:w="15" w:type="dxa"/>
          </w:tblCellMar>
        </w:tblPrEx>
        <w:trPr>
          <w:trHeight w:val="270" w:hRule="atLeast"/>
        </w:trPr>
        <w:tc>
          <w:tcPr>
            <w:tcW w:w="70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w:t>
            </w:r>
          </w:p>
        </w:tc>
        <w:tc>
          <w:tcPr>
            <w:tcW w:w="2322"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Times New Roman"/>
                <w:color w:val="000000"/>
                <w:sz w:val="16"/>
                <w:szCs w:val="16"/>
              </w:rPr>
            </w:pPr>
          </w:p>
        </w:tc>
        <w:tc>
          <w:tcPr>
            <w:tcW w:w="1231"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232"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25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25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25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Times New Roman"/>
                <w:color w:val="000000"/>
                <w:sz w:val="16"/>
                <w:szCs w:val="16"/>
              </w:rPr>
            </w:pPr>
          </w:p>
        </w:tc>
        <w:tc>
          <w:tcPr>
            <w:tcW w:w="126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Times New Roman"/>
                <w:color w:val="000000"/>
                <w:sz w:val="16"/>
                <w:szCs w:val="16"/>
              </w:rPr>
            </w:pPr>
          </w:p>
        </w:tc>
      </w:tr>
      <w:tr>
        <w:tblPrEx>
          <w:tblLayout w:type="fixed"/>
          <w:tblCellMar>
            <w:top w:w="15" w:type="dxa"/>
            <w:left w:w="15" w:type="dxa"/>
            <w:bottom w:w="15" w:type="dxa"/>
            <w:right w:w="15" w:type="dxa"/>
          </w:tblCellMar>
        </w:tblPrEx>
        <w:trPr>
          <w:trHeight w:val="285" w:hRule="atLeast"/>
        </w:trPr>
        <w:tc>
          <w:tcPr>
            <w:tcW w:w="10500" w:type="dxa"/>
            <w:gridSpan w:val="12"/>
            <w:vAlign w:val="center"/>
          </w:tcPr>
          <w:p>
            <w:pPr>
              <w:widowControl/>
              <w:jc w:val="left"/>
              <w:textAlignment w:val="center"/>
              <w:rPr>
                <w:rFonts w:ascii="宋体" w:cs="Times New Roman"/>
                <w:color w:val="000000"/>
                <w:sz w:val="16"/>
                <w:szCs w:val="16"/>
              </w:rPr>
            </w:pPr>
            <w:r>
              <w:rPr>
                <w:rFonts w:hint="eastAsia" w:ascii="宋体" w:hAnsi="宋体" w:cs="宋体"/>
                <w:color w:val="000000"/>
                <w:kern w:val="0"/>
                <w:sz w:val="16"/>
                <w:szCs w:val="16"/>
              </w:rPr>
              <w:t>注：本表反映部门本年度政府性基金预算财政拨款收入支出及结转和结余情况。焦作西部产业集聚区管委会没有政府性基金收入，也没有政府性基金安排的支出，故本表无数据。</w:t>
            </w:r>
          </w:p>
        </w:tc>
      </w:tr>
    </w:tbl>
    <w:p>
      <w:pPr>
        <w:spacing w:line="360" w:lineRule="auto"/>
        <w:jc w:val="center"/>
        <w:rPr>
          <w:rFonts w:ascii="隶书" w:hAnsi="隶书" w:eastAsia="隶书" w:cs="Times New Roman"/>
          <w:sz w:val="52"/>
          <w:szCs w:val="52"/>
        </w:rPr>
        <w:sectPr>
          <w:pgSz w:w="11906" w:h="16838"/>
          <w:pgMar w:top="1440" w:right="1531" w:bottom="1440" w:left="1077" w:header="851" w:footer="992" w:gutter="0"/>
          <w:pgNumType w:fmt="numberInDash"/>
          <w:cols w:space="0" w:num="1"/>
          <w:docGrid w:type="lines" w:linePitch="317" w:charSpace="0"/>
        </w:sect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jc w:val="left"/>
        <w:rPr>
          <w:rFonts w:ascii="黑体" w:hAnsi="黑体" w:eastAsia="黑体" w:cs="Times New Roman"/>
          <w:sz w:val="32"/>
          <w:szCs w:val="32"/>
        </w:rPr>
      </w:pPr>
    </w:p>
    <w:p>
      <w:pPr>
        <w:pStyle w:val="2"/>
        <w:kinsoku w:val="0"/>
        <w:overflowPunct w:val="0"/>
        <w:spacing w:line="820" w:lineRule="exact"/>
        <w:ind w:right="84"/>
        <w:jc w:val="center"/>
        <w:rPr>
          <w:sz w:val="52"/>
          <w:szCs w:val="52"/>
        </w:rPr>
      </w:pPr>
      <w:r>
        <w:rPr>
          <w:rFonts w:hint="eastAsia"/>
          <w:sz w:val="52"/>
          <w:szCs w:val="52"/>
        </w:rPr>
        <w:t>第三部分</w:t>
      </w:r>
    </w:p>
    <w:p>
      <w:pPr>
        <w:kinsoku w:val="0"/>
        <w:overflowPunct w:val="0"/>
        <w:spacing w:before="6" w:line="180" w:lineRule="exact"/>
        <w:rPr>
          <w:sz w:val="52"/>
          <w:szCs w:val="52"/>
        </w:rPr>
      </w:pPr>
    </w:p>
    <w:p>
      <w:pPr>
        <w:kinsoku w:val="0"/>
        <w:overflowPunct w:val="0"/>
        <w:ind w:left="80" w:right="84"/>
        <w:jc w:val="center"/>
        <w:rPr>
          <w:rFonts w:ascii="宋体" w:cs="宋体"/>
          <w:b/>
          <w:sz w:val="52"/>
          <w:szCs w:val="52"/>
        </w:rPr>
      </w:pPr>
      <w:r>
        <w:rPr>
          <w:rFonts w:hint="eastAsia" w:ascii="宋体" w:hAnsi="宋体" w:cs="宋体"/>
          <w:b/>
          <w:sz w:val="52"/>
          <w:szCs w:val="52"/>
        </w:rPr>
        <w:t>焦作西部产业集聚区管理委员会</w:t>
      </w:r>
    </w:p>
    <w:p>
      <w:pPr>
        <w:kinsoku w:val="0"/>
        <w:overflowPunct w:val="0"/>
        <w:ind w:left="80" w:right="84"/>
        <w:jc w:val="center"/>
        <w:rPr>
          <w:rFonts w:ascii="宋体" w:cs="宋体"/>
          <w:b/>
          <w:sz w:val="52"/>
          <w:szCs w:val="52"/>
        </w:rPr>
      </w:pPr>
      <w:r>
        <w:rPr>
          <w:rFonts w:ascii="宋体" w:hAnsi="宋体" w:cs="宋体"/>
          <w:b/>
          <w:sz w:val="52"/>
          <w:szCs w:val="52"/>
        </w:rPr>
        <w:t>2016</w:t>
      </w:r>
      <w:r>
        <w:rPr>
          <w:rFonts w:hint="eastAsia" w:ascii="宋体" w:hAnsi="宋体" w:cs="宋体"/>
          <w:b/>
          <w:sz w:val="52"/>
          <w:szCs w:val="52"/>
        </w:rPr>
        <w:t>年度部门决算</w:t>
      </w:r>
    </w:p>
    <w:p>
      <w:pPr>
        <w:kinsoku w:val="0"/>
        <w:overflowPunct w:val="0"/>
        <w:ind w:left="80" w:right="84"/>
        <w:jc w:val="center"/>
        <w:rPr>
          <w:rFonts w:ascii="宋体" w:cs="宋体"/>
          <w:b/>
          <w:sz w:val="52"/>
          <w:szCs w:val="52"/>
        </w:rPr>
      </w:pPr>
      <w:r>
        <w:rPr>
          <w:rFonts w:hint="eastAsia" w:ascii="宋体" w:hAnsi="宋体" w:cs="宋体"/>
          <w:b/>
          <w:sz w:val="52"/>
          <w:szCs w:val="52"/>
        </w:rPr>
        <w:t>情况说明</w:t>
      </w:r>
    </w:p>
    <w:p>
      <w:pPr>
        <w:kinsoku w:val="0"/>
        <w:overflowPunct w:val="0"/>
        <w:ind w:left="80" w:right="84"/>
        <w:jc w:val="center"/>
        <w:rPr>
          <w:rFonts w:ascii="宋体" w:cs="宋体"/>
          <w:b/>
          <w:sz w:val="52"/>
          <w:szCs w:val="52"/>
        </w:rPr>
      </w:pPr>
    </w:p>
    <w:p>
      <w:pPr>
        <w:kinsoku w:val="0"/>
        <w:overflowPunct w:val="0"/>
        <w:ind w:left="80" w:right="84"/>
        <w:jc w:val="center"/>
        <w:rPr>
          <w:rFonts w:ascii="宋体" w:cs="宋体"/>
          <w:b/>
          <w:sz w:val="52"/>
          <w:szCs w:val="52"/>
        </w:rPr>
      </w:pPr>
    </w:p>
    <w:p>
      <w:pPr>
        <w:kinsoku w:val="0"/>
        <w:overflowPunct w:val="0"/>
        <w:ind w:left="80" w:right="84"/>
        <w:jc w:val="center"/>
        <w:rPr>
          <w:rFonts w:ascii="宋体" w:cs="宋体"/>
          <w:b/>
          <w:sz w:val="52"/>
          <w:szCs w:val="52"/>
        </w:rPr>
      </w:pPr>
    </w:p>
    <w:p>
      <w:pPr>
        <w:kinsoku w:val="0"/>
        <w:overflowPunct w:val="0"/>
        <w:ind w:left="80" w:right="84"/>
        <w:jc w:val="center"/>
        <w:rPr>
          <w:rFonts w:ascii="宋体" w:cs="宋体"/>
          <w:b/>
          <w:sz w:val="52"/>
          <w:szCs w:val="52"/>
        </w:rPr>
      </w:pPr>
    </w:p>
    <w:p>
      <w:pPr>
        <w:kinsoku w:val="0"/>
        <w:overflowPunct w:val="0"/>
        <w:ind w:left="80" w:right="84"/>
        <w:jc w:val="center"/>
        <w:rPr>
          <w:rFonts w:ascii="宋体" w:cs="宋体"/>
          <w:b/>
          <w:sz w:val="52"/>
          <w:szCs w:val="52"/>
        </w:rPr>
      </w:pPr>
    </w:p>
    <w:p>
      <w:pPr>
        <w:kinsoku w:val="0"/>
        <w:overflowPunct w:val="0"/>
        <w:ind w:left="80" w:right="84"/>
        <w:jc w:val="center"/>
        <w:rPr>
          <w:rFonts w:ascii="宋体" w:cs="宋体"/>
          <w:b/>
          <w:sz w:val="52"/>
          <w:szCs w:val="52"/>
        </w:rPr>
      </w:pPr>
    </w:p>
    <w:p>
      <w:pPr>
        <w:pStyle w:val="3"/>
        <w:kinsoku w:val="0"/>
        <w:overflowPunct w:val="0"/>
        <w:spacing w:line="420" w:lineRule="exact"/>
        <w:ind w:left="0" w:firstLine="640" w:firstLineChars="200"/>
        <w:rPr>
          <w:rFonts w:ascii="黑体" w:hAnsi="黑体" w:eastAsia="黑体" w:cs="黑体"/>
        </w:rPr>
      </w:pPr>
      <w:r>
        <w:rPr>
          <w:rFonts w:hint="eastAsia" w:ascii="黑体" w:hAnsi="黑体" w:eastAsia="黑体" w:cs="黑体"/>
        </w:rPr>
        <w:t>一、关于焦作西部产业集聚区管委会</w:t>
      </w:r>
      <w:r>
        <w:rPr>
          <w:rFonts w:ascii="黑体" w:hAnsi="黑体" w:eastAsia="黑体" w:cs="黑体"/>
        </w:rPr>
        <w:t>2016</w:t>
      </w:r>
      <w:r>
        <w:rPr>
          <w:rFonts w:hint="eastAsia" w:ascii="黑体" w:hAnsi="黑体" w:eastAsia="黑体" w:cs="黑体"/>
        </w:rPr>
        <w:t>年度收入支出决算总体情况说明</w:t>
      </w:r>
    </w:p>
    <w:p>
      <w:pPr>
        <w:pStyle w:val="3"/>
        <w:kinsoku w:val="0"/>
        <w:overflowPunct w:val="0"/>
        <w:spacing w:before="61" w:line="337" w:lineRule="auto"/>
        <w:ind w:left="0" w:right="431" w:firstLine="636" w:firstLineChars="200"/>
        <w:jc w:val="both"/>
        <w:rPr>
          <w:spacing w:val="-1"/>
        </w:rPr>
      </w:pPr>
      <w:r>
        <w:rPr>
          <w:rFonts w:hint="eastAsia"/>
          <w:spacing w:val="-1"/>
        </w:rPr>
        <w:t>焦作西部产业集聚区管委会</w:t>
      </w:r>
      <w:r>
        <w:rPr>
          <w:spacing w:val="-1"/>
        </w:rPr>
        <w:t>2016</w:t>
      </w:r>
      <w:r>
        <w:rPr>
          <w:rFonts w:hint="eastAsia"/>
          <w:spacing w:val="-1"/>
        </w:rPr>
        <w:t>年度收入总计</w:t>
      </w:r>
      <w:r>
        <w:rPr>
          <w:spacing w:val="-1"/>
        </w:rPr>
        <w:t>175.70</w:t>
      </w:r>
      <w:r>
        <w:rPr>
          <w:rFonts w:hint="eastAsia"/>
          <w:spacing w:val="-1"/>
        </w:rPr>
        <w:t>万元，支出总计</w:t>
      </w:r>
      <w:r>
        <w:rPr>
          <w:spacing w:val="-1"/>
        </w:rPr>
        <w:t>175.70</w:t>
      </w:r>
      <w:r>
        <w:rPr>
          <w:rFonts w:hint="eastAsia"/>
          <w:spacing w:val="-1"/>
        </w:rPr>
        <w:t>万元。与</w:t>
      </w:r>
      <w:r>
        <w:rPr>
          <w:spacing w:val="-1"/>
        </w:rPr>
        <w:t xml:space="preserve"> 2015 </w:t>
      </w:r>
      <w:r>
        <w:rPr>
          <w:rFonts w:hint="eastAsia"/>
          <w:spacing w:val="-1"/>
        </w:rPr>
        <w:t>年</w:t>
      </w:r>
      <w:r>
        <w:rPr>
          <w:spacing w:val="-1"/>
        </w:rPr>
        <w:t>362.62</w:t>
      </w:r>
      <w:r>
        <w:rPr>
          <w:rFonts w:hint="eastAsia"/>
          <w:spacing w:val="-1"/>
        </w:rPr>
        <w:t>万元相比，收、支总计减少</w:t>
      </w:r>
      <w:r>
        <w:rPr>
          <w:spacing w:val="-1"/>
        </w:rPr>
        <w:t>186.92</w:t>
      </w:r>
      <w:r>
        <w:rPr>
          <w:rFonts w:hint="eastAsia"/>
          <w:spacing w:val="-1"/>
        </w:rPr>
        <w:t>万元，降幅</w:t>
      </w:r>
      <w:r>
        <w:rPr>
          <w:spacing w:val="-1"/>
        </w:rPr>
        <w:t>51.55%</w:t>
      </w:r>
      <w:r>
        <w:rPr>
          <w:rFonts w:hint="eastAsia"/>
          <w:spacing w:val="-1"/>
        </w:rPr>
        <w:t>。主要原因是相对</w:t>
      </w:r>
      <w:r>
        <w:rPr>
          <w:spacing w:val="-1"/>
        </w:rPr>
        <w:t>2015</w:t>
      </w:r>
      <w:r>
        <w:rPr>
          <w:rFonts w:hint="eastAsia"/>
          <w:spacing w:val="-1"/>
        </w:rPr>
        <w:t>年，拆迁协调费用大幅降低。其次，</w:t>
      </w:r>
      <w:r>
        <w:rPr>
          <w:spacing w:val="-1"/>
        </w:rPr>
        <w:t>2016</w:t>
      </w:r>
      <w:r>
        <w:rPr>
          <w:rFonts w:hint="eastAsia"/>
          <w:spacing w:val="-1"/>
        </w:rPr>
        <w:t>年我单位严格控制各项预算支出，仅三公经费就比</w:t>
      </w:r>
      <w:r>
        <w:rPr>
          <w:spacing w:val="-1"/>
        </w:rPr>
        <w:t>2015</w:t>
      </w:r>
      <w:r>
        <w:rPr>
          <w:rFonts w:hint="eastAsia"/>
          <w:spacing w:val="-1"/>
        </w:rPr>
        <w:t>年节支</w:t>
      </w:r>
      <w:r>
        <w:rPr>
          <w:spacing w:val="-1"/>
        </w:rPr>
        <w:t>13</w:t>
      </w:r>
      <w:r>
        <w:rPr>
          <w:rFonts w:hint="eastAsia"/>
          <w:spacing w:val="-1"/>
        </w:rPr>
        <w:t>万元。</w:t>
      </w:r>
    </w:p>
    <w:p>
      <w:pPr>
        <w:pStyle w:val="3"/>
        <w:kinsoku w:val="0"/>
        <w:overflowPunct w:val="0"/>
        <w:spacing w:before="61" w:line="337" w:lineRule="auto"/>
        <w:ind w:left="0" w:right="431" w:firstLine="639" w:firstLineChars="200"/>
        <w:jc w:val="both"/>
        <w:rPr>
          <w:rFonts w:ascii="黑体" w:hAnsi="黑体" w:eastAsia="黑体" w:cs="黑体"/>
          <w:b/>
          <w:bCs/>
          <w:spacing w:val="-1"/>
        </w:rPr>
      </w:pPr>
      <w:r>
        <w:rPr>
          <w:rFonts w:hint="eastAsia" w:ascii="黑体" w:hAnsi="黑体" w:eastAsia="黑体" w:cs="黑体"/>
          <w:b/>
          <w:bCs/>
          <w:spacing w:val="-1"/>
        </w:rPr>
        <w:t>二、关于</w:t>
      </w:r>
      <w:r>
        <w:rPr>
          <w:rFonts w:hint="eastAsia" w:ascii="黑体" w:hAnsi="黑体" w:eastAsia="黑体" w:cs="黑体"/>
        </w:rPr>
        <w:t>焦作西部产业集聚区管委会</w:t>
      </w:r>
      <w:r>
        <w:rPr>
          <w:rFonts w:ascii="黑体" w:hAnsi="黑体" w:eastAsia="黑体" w:cs="黑体"/>
          <w:b/>
          <w:bCs/>
          <w:spacing w:val="-1"/>
        </w:rPr>
        <w:t>2016</w:t>
      </w:r>
      <w:r>
        <w:rPr>
          <w:rFonts w:hint="eastAsia" w:ascii="黑体" w:hAnsi="黑体" w:eastAsia="黑体" w:cs="黑体"/>
          <w:b/>
          <w:bCs/>
          <w:spacing w:val="-1"/>
        </w:rPr>
        <w:t>年度收入决算情况说明</w:t>
      </w:r>
    </w:p>
    <w:p>
      <w:pPr>
        <w:pStyle w:val="3"/>
        <w:kinsoku w:val="0"/>
        <w:overflowPunct w:val="0"/>
        <w:spacing w:before="61" w:line="337" w:lineRule="auto"/>
        <w:ind w:left="0" w:right="431" w:firstLine="636" w:firstLineChars="200"/>
        <w:jc w:val="both"/>
        <w:rPr>
          <w:spacing w:val="-1"/>
        </w:rPr>
      </w:pPr>
      <w:r>
        <w:rPr>
          <w:rFonts w:hint="eastAsia"/>
          <w:spacing w:val="-1"/>
        </w:rPr>
        <w:t>本年收入合计</w:t>
      </w:r>
      <w:r>
        <w:rPr>
          <w:spacing w:val="-1"/>
        </w:rPr>
        <w:t xml:space="preserve">175.70 </w:t>
      </w:r>
      <w:r>
        <w:rPr>
          <w:rFonts w:hint="eastAsia"/>
          <w:spacing w:val="-1"/>
        </w:rPr>
        <w:t>万元，全是财政拨款收入。</w:t>
      </w:r>
    </w:p>
    <w:p>
      <w:pPr>
        <w:pStyle w:val="3"/>
        <w:kinsoku w:val="0"/>
        <w:overflowPunct w:val="0"/>
        <w:spacing w:line="337" w:lineRule="auto"/>
        <w:ind w:left="420" w:leftChars="200" w:right="107"/>
        <w:jc w:val="both"/>
        <w:rPr>
          <w:rFonts w:ascii="黑体" w:hAnsi="黑体" w:eastAsia="黑体" w:cs="黑体"/>
        </w:rPr>
      </w:pPr>
      <w:r>
        <w:rPr>
          <w:rFonts w:ascii="黑体" w:hAnsi="黑体" w:eastAsia="黑体" w:cs="黑体"/>
        </w:rPr>
        <w:t xml:space="preserve"> </w:t>
      </w:r>
      <w:r>
        <w:rPr>
          <w:rFonts w:hint="eastAsia" w:ascii="黑体" w:hAnsi="黑体" w:eastAsia="黑体" w:cs="黑体"/>
        </w:rPr>
        <w:t>三、关于焦作西部产业集聚区管委会</w:t>
      </w:r>
      <w:r>
        <w:rPr>
          <w:rFonts w:ascii="黑体" w:hAnsi="黑体" w:eastAsia="黑体" w:cs="黑体"/>
        </w:rPr>
        <w:t>2016</w:t>
      </w:r>
      <w:r>
        <w:rPr>
          <w:rFonts w:hint="eastAsia" w:ascii="黑体" w:hAnsi="黑体" w:eastAsia="黑体" w:cs="黑体"/>
        </w:rPr>
        <w:t>年度支出决算情况说明</w:t>
      </w:r>
    </w:p>
    <w:p>
      <w:pPr>
        <w:pStyle w:val="3"/>
        <w:kinsoku w:val="0"/>
        <w:overflowPunct w:val="0"/>
        <w:spacing w:line="337" w:lineRule="auto"/>
        <w:ind w:left="420" w:leftChars="200" w:right="107"/>
        <w:jc w:val="both"/>
      </w:pPr>
      <w:r>
        <w:rPr>
          <w:spacing w:val="31"/>
        </w:rPr>
        <w:t xml:space="preserve"> </w:t>
      </w:r>
      <w:r>
        <w:rPr>
          <w:rFonts w:hint="eastAsia"/>
          <w:spacing w:val="31"/>
        </w:rPr>
        <w:t>本年支出合</w:t>
      </w:r>
      <w:r>
        <w:rPr>
          <w:rFonts w:hint="eastAsia"/>
        </w:rPr>
        <w:t>计</w:t>
      </w:r>
      <w:r>
        <w:rPr>
          <w:spacing w:val="30"/>
        </w:rPr>
        <w:t>175.70</w:t>
      </w:r>
      <w:r>
        <w:rPr>
          <w:rFonts w:hint="eastAsia"/>
          <w:spacing w:val="31"/>
        </w:rPr>
        <w:t>万元，全是基本支</w:t>
      </w:r>
      <w:r>
        <w:rPr>
          <w:rFonts w:hint="eastAsia"/>
        </w:rPr>
        <w:t>出</w:t>
      </w:r>
      <w:r>
        <w:rPr>
          <w:spacing w:val="-129"/>
        </w:rPr>
        <w:t xml:space="preserve"> </w:t>
      </w:r>
      <w:r>
        <w:rPr>
          <w:rFonts w:hint="eastAsia"/>
          <w:spacing w:val="-129"/>
        </w:rPr>
        <w:t>。</w:t>
      </w:r>
    </w:p>
    <w:p>
      <w:pPr>
        <w:pStyle w:val="3"/>
        <w:kinsoku w:val="0"/>
        <w:overflowPunct w:val="0"/>
        <w:spacing w:before="61" w:line="337" w:lineRule="auto"/>
        <w:ind w:left="0" w:right="431" w:firstLine="636" w:firstLineChars="200"/>
        <w:jc w:val="both"/>
        <w:rPr>
          <w:rFonts w:ascii="黑体" w:hAnsi="黑体" w:eastAsia="黑体" w:cs="黑体"/>
          <w:spacing w:val="-1"/>
        </w:rPr>
      </w:pPr>
      <w:r>
        <w:rPr>
          <w:rFonts w:hint="eastAsia" w:ascii="黑体" w:hAnsi="黑体" w:eastAsia="黑体" w:cs="黑体"/>
          <w:spacing w:val="-1"/>
        </w:rPr>
        <w:t>四、关于</w:t>
      </w:r>
      <w:r>
        <w:rPr>
          <w:rFonts w:hint="eastAsia" w:ascii="黑体" w:hAnsi="黑体" w:eastAsia="黑体" w:cs="黑体"/>
        </w:rPr>
        <w:t>焦作西部产业集聚区管委会</w:t>
      </w:r>
      <w:r>
        <w:rPr>
          <w:rFonts w:ascii="黑体" w:hAnsi="黑体" w:eastAsia="黑体" w:cs="黑体"/>
          <w:spacing w:val="-1"/>
        </w:rPr>
        <w:t>2016</w:t>
      </w:r>
      <w:r>
        <w:rPr>
          <w:rFonts w:hint="eastAsia" w:ascii="黑体" w:hAnsi="黑体" w:eastAsia="黑体" w:cs="黑体"/>
          <w:spacing w:val="-1"/>
        </w:rPr>
        <w:t>年度财政拨款收入支出决算总体情况说明</w:t>
      </w:r>
    </w:p>
    <w:p>
      <w:pPr>
        <w:pStyle w:val="3"/>
        <w:kinsoku w:val="0"/>
        <w:overflowPunct w:val="0"/>
        <w:spacing w:before="61" w:line="337" w:lineRule="auto"/>
        <w:ind w:left="0" w:right="431" w:firstLine="636" w:firstLineChars="200"/>
        <w:jc w:val="both"/>
        <w:rPr>
          <w:spacing w:val="-1"/>
        </w:rPr>
      </w:pPr>
      <w:r>
        <w:rPr>
          <w:rFonts w:hint="eastAsia"/>
          <w:spacing w:val="-1"/>
        </w:rPr>
        <w:t>焦作西部产业集聚区管委会</w:t>
      </w:r>
      <w:r>
        <w:rPr>
          <w:spacing w:val="-1"/>
        </w:rPr>
        <w:t>2016</w:t>
      </w:r>
      <w:r>
        <w:rPr>
          <w:rFonts w:hint="eastAsia"/>
          <w:spacing w:val="-1"/>
        </w:rPr>
        <w:t>年度收入总计</w:t>
      </w:r>
      <w:r>
        <w:rPr>
          <w:spacing w:val="-1"/>
        </w:rPr>
        <w:t>175.70</w:t>
      </w:r>
      <w:r>
        <w:rPr>
          <w:rFonts w:hint="eastAsia"/>
          <w:spacing w:val="-1"/>
        </w:rPr>
        <w:t>万元，支出总计</w:t>
      </w:r>
      <w:r>
        <w:rPr>
          <w:spacing w:val="-1"/>
        </w:rPr>
        <w:t>170.70</w:t>
      </w:r>
      <w:r>
        <w:rPr>
          <w:rFonts w:hint="eastAsia"/>
          <w:spacing w:val="-1"/>
        </w:rPr>
        <w:t>万元。与</w:t>
      </w:r>
      <w:r>
        <w:rPr>
          <w:spacing w:val="-1"/>
        </w:rPr>
        <w:t xml:space="preserve"> 2015 </w:t>
      </w:r>
      <w:r>
        <w:rPr>
          <w:rFonts w:hint="eastAsia"/>
          <w:spacing w:val="-1"/>
        </w:rPr>
        <w:t>年</w:t>
      </w:r>
      <w:r>
        <w:rPr>
          <w:spacing w:val="-1"/>
        </w:rPr>
        <w:t>362.62</w:t>
      </w:r>
      <w:r>
        <w:rPr>
          <w:rFonts w:hint="eastAsia"/>
          <w:spacing w:val="-1"/>
        </w:rPr>
        <w:t>万元相比，收、支总计减少</w:t>
      </w:r>
      <w:r>
        <w:rPr>
          <w:spacing w:val="-1"/>
        </w:rPr>
        <w:t>186.92</w:t>
      </w:r>
      <w:r>
        <w:rPr>
          <w:rFonts w:hint="eastAsia"/>
          <w:spacing w:val="-1"/>
        </w:rPr>
        <w:t>万元，降幅</w:t>
      </w:r>
      <w:r>
        <w:rPr>
          <w:spacing w:val="-1"/>
        </w:rPr>
        <w:t>51.55%</w:t>
      </w:r>
      <w:r>
        <w:rPr>
          <w:rFonts w:hint="eastAsia"/>
          <w:spacing w:val="-1"/>
        </w:rPr>
        <w:t>。主要原因是相对</w:t>
      </w:r>
      <w:r>
        <w:rPr>
          <w:spacing w:val="-1"/>
        </w:rPr>
        <w:t>2015</w:t>
      </w:r>
      <w:r>
        <w:rPr>
          <w:rFonts w:hint="eastAsia"/>
          <w:spacing w:val="-1"/>
        </w:rPr>
        <w:t>年，拆迁协调费用大幅降低。其次，</w:t>
      </w:r>
      <w:r>
        <w:rPr>
          <w:spacing w:val="-1"/>
        </w:rPr>
        <w:t>2016</w:t>
      </w:r>
      <w:r>
        <w:rPr>
          <w:rFonts w:hint="eastAsia"/>
          <w:spacing w:val="-1"/>
        </w:rPr>
        <w:t>年我单位严格控制各项预算支出，仅三公经费就比</w:t>
      </w:r>
      <w:r>
        <w:rPr>
          <w:spacing w:val="-1"/>
        </w:rPr>
        <w:t>2015</w:t>
      </w:r>
      <w:r>
        <w:rPr>
          <w:rFonts w:hint="eastAsia"/>
          <w:spacing w:val="-1"/>
        </w:rPr>
        <w:t>年节支</w:t>
      </w:r>
      <w:r>
        <w:rPr>
          <w:spacing w:val="-1"/>
        </w:rPr>
        <w:t>13</w:t>
      </w:r>
      <w:r>
        <w:rPr>
          <w:rFonts w:hint="eastAsia"/>
          <w:spacing w:val="-1"/>
        </w:rPr>
        <w:t>万元。</w:t>
      </w:r>
    </w:p>
    <w:p>
      <w:pPr>
        <w:pStyle w:val="3"/>
        <w:kinsoku w:val="0"/>
        <w:overflowPunct w:val="0"/>
        <w:spacing w:line="420" w:lineRule="exact"/>
        <w:ind w:left="0" w:firstLine="640" w:firstLineChars="200"/>
        <w:rPr>
          <w:rFonts w:ascii="黑体" w:hAnsi="黑体" w:eastAsia="黑体" w:cs="黑体"/>
        </w:rPr>
      </w:pPr>
      <w:r>
        <w:rPr>
          <w:rFonts w:hint="eastAsia" w:ascii="黑体" w:hAnsi="黑体" w:eastAsia="黑体" w:cs="黑体"/>
        </w:rPr>
        <w:t>五</w:t>
      </w:r>
      <w:r>
        <w:rPr>
          <w:rFonts w:hint="eastAsia" w:ascii="黑体" w:hAnsi="黑体" w:eastAsia="黑体" w:cs="黑体"/>
          <w:spacing w:val="-11"/>
        </w:rPr>
        <w:t>、</w:t>
      </w:r>
      <w:r>
        <w:rPr>
          <w:rFonts w:hint="eastAsia" w:ascii="黑体" w:hAnsi="黑体" w:eastAsia="黑体" w:cs="黑体"/>
        </w:rPr>
        <w:t>关于财政部</w:t>
      </w:r>
      <w:r>
        <w:rPr>
          <w:rFonts w:ascii="黑体" w:hAnsi="黑体" w:eastAsia="黑体" w:cs="黑体"/>
        </w:rPr>
        <w:t>2016</w:t>
      </w:r>
      <w:r>
        <w:rPr>
          <w:rFonts w:hint="eastAsia" w:ascii="黑体" w:hAnsi="黑体" w:eastAsia="黑体" w:cs="黑体"/>
        </w:rPr>
        <w:t>年度一般公共预算财政拨款支出决算情况说明</w:t>
      </w:r>
    </w:p>
    <w:p>
      <w:pPr>
        <w:kinsoku w:val="0"/>
        <w:overflowPunct w:val="0"/>
        <w:spacing w:before="3" w:line="190" w:lineRule="exact"/>
        <w:ind w:firstLine="380" w:firstLineChars="200"/>
        <w:rPr>
          <w:sz w:val="19"/>
          <w:szCs w:val="19"/>
        </w:rPr>
      </w:pPr>
    </w:p>
    <w:p>
      <w:pPr>
        <w:pStyle w:val="3"/>
        <w:kinsoku w:val="0"/>
        <w:overflowPunct w:val="0"/>
        <w:spacing w:line="317" w:lineRule="auto"/>
        <w:ind w:left="0" w:right="276" w:firstLine="640" w:firstLineChars="200"/>
        <w:jc w:val="both"/>
      </w:pPr>
      <w:r>
        <w:rPr>
          <w:rFonts w:hint="eastAsia"/>
        </w:rPr>
        <w:t>（一）财政拨款支出决算总体情况。</w:t>
      </w:r>
    </w:p>
    <w:p>
      <w:pPr>
        <w:pStyle w:val="3"/>
        <w:kinsoku w:val="0"/>
        <w:overflowPunct w:val="0"/>
        <w:spacing w:line="317" w:lineRule="auto"/>
        <w:ind w:left="0" w:right="276" w:firstLine="640" w:firstLineChars="200"/>
        <w:jc w:val="both"/>
      </w:pPr>
      <w:r>
        <w:rPr>
          <w:rFonts w:hint="eastAsia"/>
        </w:rPr>
        <w:t>焦作西部产业集聚区管委会</w:t>
      </w:r>
      <w:r>
        <w:t>2016</w:t>
      </w:r>
      <w:r>
        <w:rPr>
          <w:rFonts w:hint="eastAsia"/>
        </w:rPr>
        <w:t>年度财政拨款支出</w:t>
      </w:r>
      <w:r>
        <w:t>175.70</w:t>
      </w:r>
      <w:r>
        <w:rPr>
          <w:rFonts w:hint="eastAsia"/>
        </w:rPr>
        <w:t>万元，占本年支出合计的</w:t>
      </w:r>
      <w:r>
        <w:t>100%</w:t>
      </w:r>
      <w:r>
        <w:rPr>
          <w:rFonts w:hint="eastAsia"/>
        </w:rPr>
        <w:t>。</w:t>
      </w:r>
      <w:r>
        <w:rPr>
          <w:rFonts w:hint="eastAsia"/>
          <w:spacing w:val="-1"/>
        </w:rPr>
        <w:t>与</w:t>
      </w:r>
      <w:r>
        <w:rPr>
          <w:spacing w:val="-1"/>
        </w:rPr>
        <w:t xml:space="preserve"> 2015 </w:t>
      </w:r>
      <w:r>
        <w:rPr>
          <w:rFonts w:hint="eastAsia"/>
          <w:spacing w:val="-1"/>
        </w:rPr>
        <w:t>年</w:t>
      </w:r>
      <w:r>
        <w:rPr>
          <w:spacing w:val="-1"/>
        </w:rPr>
        <w:t>362.62</w:t>
      </w:r>
      <w:r>
        <w:rPr>
          <w:rFonts w:hint="eastAsia"/>
          <w:spacing w:val="-1"/>
        </w:rPr>
        <w:t>万元相比，收、支总计减少</w:t>
      </w:r>
      <w:r>
        <w:rPr>
          <w:spacing w:val="-1"/>
        </w:rPr>
        <w:t>186.92</w:t>
      </w:r>
      <w:r>
        <w:rPr>
          <w:rFonts w:hint="eastAsia"/>
          <w:spacing w:val="-1"/>
        </w:rPr>
        <w:t>万元，降幅</w:t>
      </w:r>
      <w:r>
        <w:rPr>
          <w:spacing w:val="-1"/>
        </w:rPr>
        <w:t>51.55%</w:t>
      </w:r>
      <w:r>
        <w:rPr>
          <w:rFonts w:hint="eastAsia"/>
          <w:spacing w:val="-1"/>
        </w:rPr>
        <w:t>。主要原因是相对</w:t>
      </w:r>
      <w:r>
        <w:rPr>
          <w:spacing w:val="-1"/>
        </w:rPr>
        <w:t>2015</w:t>
      </w:r>
      <w:r>
        <w:rPr>
          <w:rFonts w:hint="eastAsia"/>
          <w:spacing w:val="-1"/>
        </w:rPr>
        <w:t>年，拆迁协调费用大幅降低。其次，</w:t>
      </w:r>
      <w:r>
        <w:rPr>
          <w:spacing w:val="-1"/>
        </w:rPr>
        <w:t>2016</w:t>
      </w:r>
      <w:r>
        <w:rPr>
          <w:rFonts w:hint="eastAsia"/>
          <w:spacing w:val="-1"/>
        </w:rPr>
        <w:t>年我单位严格控制各项预算支出，仅三公经费就比</w:t>
      </w:r>
      <w:r>
        <w:rPr>
          <w:spacing w:val="-1"/>
        </w:rPr>
        <w:t>2015</w:t>
      </w:r>
      <w:r>
        <w:rPr>
          <w:rFonts w:hint="eastAsia"/>
          <w:spacing w:val="-1"/>
        </w:rPr>
        <w:t>年节支</w:t>
      </w:r>
      <w:r>
        <w:rPr>
          <w:spacing w:val="-1"/>
        </w:rPr>
        <w:t>13</w:t>
      </w:r>
      <w:r>
        <w:rPr>
          <w:rFonts w:hint="eastAsia"/>
          <w:spacing w:val="-1"/>
        </w:rPr>
        <w:t>万元。</w:t>
      </w:r>
    </w:p>
    <w:p>
      <w:pPr>
        <w:pStyle w:val="3"/>
        <w:kinsoku w:val="0"/>
        <w:overflowPunct w:val="0"/>
        <w:spacing w:line="317" w:lineRule="auto"/>
        <w:ind w:left="0" w:right="276" w:firstLine="640" w:firstLineChars="200"/>
        <w:jc w:val="both"/>
      </w:pPr>
      <w:r>
        <w:rPr>
          <w:rFonts w:hint="eastAsia"/>
        </w:rPr>
        <w:t>（二）财政拨款支出决算结构情况。</w:t>
      </w:r>
    </w:p>
    <w:p>
      <w:pPr>
        <w:pStyle w:val="3"/>
        <w:kinsoku w:val="0"/>
        <w:overflowPunct w:val="0"/>
        <w:spacing w:line="317" w:lineRule="auto"/>
        <w:ind w:left="0" w:right="276" w:firstLine="640" w:firstLineChars="200"/>
        <w:jc w:val="both"/>
      </w:pPr>
      <w:r>
        <w:rPr>
          <w:rFonts w:hint="eastAsia"/>
        </w:rPr>
        <w:t>焦作西部产业集聚区管委会</w:t>
      </w:r>
      <w:r>
        <w:t>2016</w:t>
      </w:r>
      <w:r>
        <w:rPr>
          <w:rFonts w:hint="eastAsia"/>
        </w:rPr>
        <w:t>年度财政拨款支出</w:t>
      </w:r>
      <w:r>
        <w:t>175.70</w:t>
      </w:r>
      <w:r>
        <w:rPr>
          <w:rFonts w:hint="eastAsia"/>
        </w:rPr>
        <w:t>万元，主要用于以下方面：一般公共服务（类）支出</w:t>
      </w:r>
      <w:r>
        <w:t>158.88</w:t>
      </w:r>
      <w:r>
        <w:rPr>
          <w:rFonts w:hint="eastAsia"/>
        </w:rPr>
        <w:t>万元，占</w:t>
      </w:r>
      <w:r>
        <w:t xml:space="preserve"> 90.43%;</w:t>
      </w:r>
      <w:r>
        <w:rPr>
          <w:rFonts w:hint="eastAsia"/>
        </w:rPr>
        <w:t>招商引资方面的支出</w:t>
      </w:r>
      <w:r>
        <w:t>0.83</w:t>
      </w:r>
      <w:r>
        <w:rPr>
          <w:rFonts w:hint="eastAsia"/>
        </w:rPr>
        <w:t>万元，占</w:t>
      </w:r>
      <w:r>
        <w:t>0.47%</w:t>
      </w:r>
      <w:r>
        <w:rPr>
          <w:rFonts w:hint="eastAsia"/>
        </w:rPr>
        <w:t>；社会保障和就业（类）支出</w:t>
      </w:r>
      <w:r>
        <w:t>4.00</w:t>
      </w:r>
      <w:r>
        <w:rPr>
          <w:rFonts w:hint="eastAsia"/>
        </w:rPr>
        <w:t>万元，占</w:t>
      </w:r>
      <w:r>
        <w:t>2.28%</w:t>
      </w:r>
      <w:r>
        <w:rPr>
          <w:rFonts w:hint="eastAsia"/>
        </w:rPr>
        <w:t>；医疗卫生与计划生育支出</w:t>
      </w:r>
      <w:r>
        <w:t>2.70</w:t>
      </w:r>
      <w:r>
        <w:rPr>
          <w:rFonts w:hint="eastAsia"/>
        </w:rPr>
        <w:t>万元，占</w:t>
      </w:r>
      <w:r>
        <w:t>1.53%</w:t>
      </w:r>
      <w:r>
        <w:rPr>
          <w:rFonts w:hint="eastAsia"/>
        </w:rPr>
        <w:t>；住房保障（类）支出</w:t>
      </w:r>
      <w:r>
        <w:t>9.29</w:t>
      </w:r>
      <w:r>
        <w:rPr>
          <w:rFonts w:hint="eastAsia"/>
        </w:rPr>
        <w:t>万元，占</w:t>
      </w:r>
      <w:r>
        <w:t>5.29%</w:t>
      </w:r>
      <w:r>
        <w:rPr>
          <w:rFonts w:hint="eastAsia"/>
        </w:rPr>
        <w:t>。</w:t>
      </w:r>
    </w:p>
    <w:p>
      <w:pPr>
        <w:pStyle w:val="3"/>
        <w:kinsoku w:val="0"/>
        <w:overflowPunct w:val="0"/>
        <w:spacing w:line="317" w:lineRule="auto"/>
        <w:ind w:left="0" w:right="276" w:firstLine="640" w:firstLineChars="200"/>
        <w:jc w:val="both"/>
        <w:rPr>
          <w:rFonts w:ascii="楷体_GB2312" w:hAnsi="楷体_GB2312" w:eastAsia="楷体_GB2312" w:cs="楷体_GB2312"/>
        </w:rPr>
      </w:pPr>
      <w:r>
        <w:rPr>
          <w:rFonts w:hint="eastAsia"/>
        </w:rPr>
        <w:t>（三）财政拨款支出决算具体情况。</w:t>
      </w:r>
    </w:p>
    <w:p>
      <w:pPr>
        <w:pStyle w:val="3"/>
        <w:kinsoku w:val="0"/>
        <w:overflowPunct w:val="0"/>
        <w:spacing w:line="317" w:lineRule="auto"/>
        <w:ind w:left="0" w:right="276" w:firstLine="640" w:firstLineChars="200"/>
        <w:jc w:val="both"/>
        <w:rPr>
          <w:spacing w:val="-1"/>
        </w:rPr>
      </w:pPr>
      <w:r>
        <w:rPr>
          <w:rFonts w:hint="eastAsia"/>
        </w:rPr>
        <w:t>焦作西部产业集聚区管委会</w:t>
      </w:r>
      <w:r>
        <w:rPr>
          <w:spacing w:val="111"/>
        </w:rPr>
        <w:t>2016</w:t>
      </w:r>
      <w:r>
        <w:rPr>
          <w:rFonts w:hint="eastAsia"/>
        </w:rPr>
        <w:t>年度财政拨款支出年初预算为</w:t>
      </w:r>
      <w:r>
        <w:rPr>
          <w:spacing w:val="-1"/>
        </w:rPr>
        <w:t>175.7</w:t>
      </w:r>
      <w:r>
        <w:rPr>
          <w:rFonts w:hint="eastAsia"/>
          <w:spacing w:val="-1"/>
        </w:rPr>
        <w:t>万元，支出决算为</w:t>
      </w:r>
      <w:r>
        <w:rPr>
          <w:spacing w:val="-1"/>
        </w:rPr>
        <w:t>175.7</w:t>
      </w:r>
      <w:r>
        <w:rPr>
          <w:rFonts w:hint="eastAsia"/>
          <w:spacing w:val="-1"/>
        </w:rPr>
        <w:t>万元</w:t>
      </w:r>
      <w:r>
        <w:rPr>
          <w:rFonts w:hint="eastAsia"/>
          <w:spacing w:val="-69"/>
        </w:rPr>
        <w:t>，</w:t>
      </w:r>
      <w:r>
        <w:rPr>
          <w:rFonts w:hint="eastAsia"/>
          <w:spacing w:val="-1"/>
        </w:rPr>
        <w:t>完成年初预算的</w:t>
      </w:r>
      <w:r>
        <w:rPr>
          <w:spacing w:val="-1"/>
        </w:rPr>
        <w:t>100%</w:t>
      </w:r>
      <w:r>
        <w:rPr>
          <w:rFonts w:hint="eastAsia"/>
          <w:spacing w:val="-1"/>
        </w:rPr>
        <w:t>。</w:t>
      </w:r>
    </w:p>
    <w:p>
      <w:pPr>
        <w:pStyle w:val="3"/>
        <w:kinsoku w:val="0"/>
        <w:overflowPunct w:val="0"/>
        <w:spacing w:line="317" w:lineRule="auto"/>
        <w:ind w:left="0" w:right="276" w:firstLine="640" w:firstLineChars="200"/>
        <w:jc w:val="both"/>
        <w:rPr>
          <w:rFonts w:ascii="黑体" w:hAnsi="黑体" w:eastAsia="黑体" w:cs="黑体"/>
        </w:rPr>
      </w:pPr>
      <w:r>
        <w:rPr>
          <w:rFonts w:hint="eastAsia" w:ascii="黑体" w:hAnsi="黑体" w:eastAsia="黑体" w:cs="黑体"/>
        </w:rPr>
        <w:t>六</w:t>
      </w:r>
      <w:r>
        <w:rPr>
          <w:rFonts w:hint="eastAsia" w:ascii="黑体" w:hAnsi="黑体" w:eastAsia="黑体" w:cs="黑体"/>
          <w:spacing w:val="-11"/>
        </w:rPr>
        <w:t>、</w:t>
      </w:r>
      <w:r>
        <w:rPr>
          <w:rFonts w:hint="eastAsia" w:ascii="黑体" w:hAnsi="黑体" w:eastAsia="黑体" w:cs="黑体"/>
        </w:rPr>
        <w:t>关于焦作西部产业集聚区管委会</w:t>
      </w:r>
      <w:r>
        <w:rPr>
          <w:rFonts w:ascii="黑体" w:hAnsi="黑体" w:eastAsia="黑体" w:cs="黑体"/>
          <w:spacing w:val="-1"/>
        </w:rPr>
        <w:t>2016</w:t>
      </w:r>
      <w:r>
        <w:rPr>
          <w:rFonts w:hint="eastAsia" w:ascii="黑体" w:hAnsi="黑体" w:eastAsia="黑体" w:cs="黑体"/>
          <w:spacing w:val="-1"/>
        </w:rPr>
        <w:t>年</w:t>
      </w:r>
      <w:r>
        <w:rPr>
          <w:rFonts w:hint="eastAsia" w:ascii="黑体" w:hAnsi="黑体" w:eastAsia="黑体" w:cs="黑体"/>
        </w:rPr>
        <w:t>度一般公共预算财政拨款基本支出决算情况说明</w:t>
      </w:r>
    </w:p>
    <w:p>
      <w:pPr>
        <w:pStyle w:val="3"/>
        <w:kinsoku w:val="0"/>
        <w:overflowPunct w:val="0"/>
        <w:spacing w:line="317" w:lineRule="auto"/>
        <w:ind w:left="0" w:right="118" w:firstLine="640" w:firstLineChars="200"/>
      </w:pPr>
      <w:r>
        <w:rPr>
          <w:rFonts w:hint="eastAsia"/>
        </w:rPr>
        <w:t>焦作西部产业集聚区管委会</w:t>
      </w:r>
      <w:r>
        <w:rPr>
          <w:spacing w:val="-1"/>
        </w:rPr>
        <w:t>2016</w:t>
      </w:r>
      <w:r>
        <w:rPr>
          <w:rFonts w:hint="eastAsia"/>
          <w:spacing w:val="-1"/>
        </w:rPr>
        <w:t>年度财政拨款基本支出</w:t>
      </w:r>
      <w:r>
        <w:rPr>
          <w:spacing w:val="-1"/>
        </w:rPr>
        <w:t>175.70</w:t>
      </w:r>
      <w:r>
        <w:rPr>
          <w:rFonts w:hint="eastAsia"/>
          <w:spacing w:val="-1"/>
        </w:rPr>
        <w:t>万元</w:t>
      </w:r>
      <w:r>
        <w:rPr>
          <w:rFonts w:hint="eastAsia"/>
          <w:spacing w:val="-137"/>
        </w:rPr>
        <w:t>，</w:t>
      </w:r>
      <w:r>
        <w:rPr>
          <w:rFonts w:hint="eastAsia"/>
          <w:spacing w:val="-2"/>
        </w:rPr>
        <w:t>其</w:t>
      </w:r>
      <w:r>
        <w:rPr>
          <w:rFonts w:hint="eastAsia"/>
          <w:spacing w:val="1"/>
        </w:rPr>
        <w:t>中</w:t>
      </w:r>
      <w:r>
        <w:rPr>
          <w:rFonts w:hint="eastAsia"/>
        </w:rPr>
        <w:t>：</w:t>
      </w:r>
      <w:r>
        <w:rPr>
          <w:rFonts w:hint="eastAsia"/>
          <w:spacing w:val="-1"/>
        </w:rPr>
        <w:t>人员经费</w:t>
      </w:r>
      <w:r>
        <w:rPr>
          <w:color w:val="000000"/>
          <w:spacing w:val="-1"/>
        </w:rPr>
        <w:t>139.97</w:t>
      </w:r>
      <w:r>
        <w:rPr>
          <w:rFonts w:hint="eastAsia"/>
          <w:spacing w:val="-1"/>
        </w:rPr>
        <w:t>万元，主要包括：基本工资及津贴</w:t>
      </w:r>
      <w:r>
        <w:rPr>
          <w:spacing w:val="-1"/>
        </w:rPr>
        <w:t>104.79</w:t>
      </w:r>
      <w:r>
        <w:rPr>
          <w:rFonts w:hint="eastAsia"/>
          <w:spacing w:val="-1"/>
        </w:rPr>
        <w:t>万元、绩效工资</w:t>
      </w:r>
      <w:r>
        <w:rPr>
          <w:spacing w:val="-1"/>
        </w:rPr>
        <w:t>18.22</w:t>
      </w:r>
      <w:r>
        <w:rPr>
          <w:rFonts w:hint="eastAsia"/>
          <w:spacing w:val="-1"/>
        </w:rPr>
        <w:t>万元、伙食补助</w:t>
      </w:r>
      <w:r>
        <w:rPr>
          <w:spacing w:val="-1"/>
        </w:rPr>
        <w:t>0.97</w:t>
      </w:r>
      <w:r>
        <w:rPr>
          <w:rFonts w:hint="eastAsia"/>
          <w:spacing w:val="-1"/>
        </w:rPr>
        <w:t>万元、社会保障补助</w:t>
      </w:r>
      <w:r>
        <w:rPr>
          <w:spacing w:val="-1"/>
        </w:rPr>
        <w:t>6.7</w:t>
      </w:r>
      <w:r>
        <w:rPr>
          <w:rFonts w:hint="eastAsia"/>
          <w:spacing w:val="-1"/>
        </w:rPr>
        <w:t>万元、住房公积金</w:t>
      </w:r>
      <w:r>
        <w:rPr>
          <w:spacing w:val="-1"/>
        </w:rPr>
        <w:t>9.29</w:t>
      </w:r>
      <w:r>
        <w:rPr>
          <w:rFonts w:hint="eastAsia"/>
          <w:spacing w:val="-1"/>
        </w:rPr>
        <w:t>万元。公用经费</w:t>
      </w:r>
      <w:r>
        <w:rPr>
          <w:spacing w:val="-1"/>
        </w:rPr>
        <w:t>35.73</w:t>
      </w:r>
      <w:r>
        <w:rPr>
          <w:rFonts w:hint="eastAsia"/>
          <w:spacing w:val="-1"/>
        </w:rPr>
        <w:t>万元，主要包括办公费</w:t>
      </w:r>
      <w:r>
        <w:rPr>
          <w:spacing w:val="-1"/>
        </w:rPr>
        <w:t>3.39</w:t>
      </w:r>
      <w:r>
        <w:rPr>
          <w:rFonts w:hint="eastAsia"/>
          <w:spacing w:val="-1"/>
        </w:rPr>
        <w:t>万元、印刷费</w:t>
      </w:r>
      <w:r>
        <w:rPr>
          <w:spacing w:val="-1"/>
        </w:rPr>
        <w:t>0.6</w:t>
      </w:r>
      <w:r>
        <w:rPr>
          <w:rFonts w:hint="eastAsia"/>
          <w:spacing w:val="-1"/>
        </w:rPr>
        <w:t>万元、水电费</w:t>
      </w:r>
      <w:r>
        <w:rPr>
          <w:spacing w:val="-1"/>
        </w:rPr>
        <w:t>0.28</w:t>
      </w:r>
      <w:r>
        <w:rPr>
          <w:rFonts w:hint="eastAsia"/>
          <w:spacing w:val="-1"/>
        </w:rPr>
        <w:t>万元、邮电费</w:t>
      </w:r>
      <w:r>
        <w:rPr>
          <w:spacing w:val="-1"/>
        </w:rPr>
        <w:t>6.89</w:t>
      </w:r>
      <w:r>
        <w:rPr>
          <w:rFonts w:hint="eastAsia"/>
          <w:spacing w:val="-1"/>
        </w:rPr>
        <w:t>万元、差旅费</w:t>
      </w:r>
      <w:r>
        <w:rPr>
          <w:spacing w:val="-1"/>
        </w:rPr>
        <w:t>0.61</w:t>
      </w:r>
      <w:r>
        <w:rPr>
          <w:rFonts w:hint="eastAsia"/>
          <w:spacing w:val="-1"/>
        </w:rPr>
        <w:t>万元、公务接待费</w:t>
      </w:r>
      <w:r>
        <w:rPr>
          <w:spacing w:val="-1"/>
        </w:rPr>
        <w:t>3.39</w:t>
      </w:r>
      <w:r>
        <w:rPr>
          <w:rFonts w:hint="eastAsia"/>
          <w:spacing w:val="-1"/>
        </w:rPr>
        <w:t>万元、劳务费</w:t>
      </w:r>
      <w:r>
        <w:rPr>
          <w:spacing w:val="-1"/>
        </w:rPr>
        <w:t>4.45</w:t>
      </w:r>
      <w:r>
        <w:rPr>
          <w:rFonts w:hint="eastAsia"/>
          <w:spacing w:val="-1"/>
        </w:rPr>
        <w:t>万元、公务用车维护费</w:t>
      </w:r>
      <w:r>
        <w:rPr>
          <w:spacing w:val="-1"/>
        </w:rPr>
        <w:t>13.44</w:t>
      </w:r>
      <w:r>
        <w:rPr>
          <w:rFonts w:hint="eastAsia"/>
          <w:spacing w:val="-1"/>
        </w:rPr>
        <w:t>万元、培训费</w:t>
      </w:r>
      <w:r>
        <w:rPr>
          <w:spacing w:val="-1"/>
        </w:rPr>
        <w:t>0.56</w:t>
      </w:r>
      <w:r>
        <w:rPr>
          <w:rFonts w:hint="eastAsia"/>
          <w:spacing w:val="-1"/>
        </w:rPr>
        <w:t>万元、办公设备购置费</w:t>
      </w:r>
      <w:r>
        <w:rPr>
          <w:spacing w:val="-1"/>
        </w:rPr>
        <w:t>1.83</w:t>
      </w:r>
      <w:r>
        <w:rPr>
          <w:rFonts w:hint="eastAsia"/>
          <w:spacing w:val="-1"/>
        </w:rPr>
        <w:t>万元以及其他费用</w:t>
      </w:r>
      <w:r>
        <w:rPr>
          <w:spacing w:val="-1"/>
        </w:rPr>
        <w:t>0.29</w:t>
      </w:r>
      <w:r>
        <w:rPr>
          <w:rFonts w:hint="eastAsia"/>
          <w:spacing w:val="-1"/>
        </w:rPr>
        <w:t>万元</w:t>
      </w:r>
      <w:r>
        <w:rPr>
          <w:rFonts w:hint="eastAsia"/>
          <w:spacing w:val="-1"/>
          <w:lang w:val="en-US" w:eastAsia="zh-CN"/>
        </w:rPr>
        <w:t>(其中包含机关运行经费)。</w:t>
      </w:r>
    </w:p>
    <w:p>
      <w:pPr>
        <w:pStyle w:val="3"/>
        <w:kinsoku w:val="0"/>
        <w:overflowPunct w:val="0"/>
        <w:spacing w:line="317" w:lineRule="auto"/>
        <w:ind w:left="0" w:right="276" w:firstLine="640" w:firstLineChars="200"/>
        <w:jc w:val="both"/>
        <w:rPr>
          <w:rFonts w:ascii="黑体" w:hAnsi="黑体" w:eastAsia="黑体" w:cs="黑体"/>
        </w:rPr>
      </w:pPr>
      <w:r>
        <w:rPr>
          <w:rFonts w:hint="eastAsia" w:ascii="黑体" w:hAnsi="黑体" w:eastAsia="黑体" w:cs="黑体"/>
        </w:rPr>
        <w:t>七、关于焦作西部产业集聚区管委会</w:t>
      </w:r>
      <w:r>
        <w:rPr>
          <w:rFonts w:ascii="黑体" w:hAnsi="黑体" w:eastAsia="黑体" w:cs="黑体"/>
          <w:spacing w:val="-1"/>
        </w:rPr>
        <w:t>2016</w:t>
      </w:r>
      <w:r>
        <w:rPr>
          <w:rFonts w:hint="eastAsia" w:ascii="黑体" w:hAnsi="黑体" w:eastAsia="黑体" w:cs="黑体"/>
          <w:spacing w:val="-1"/>
        </w:rPr>
        <w:t>年</w:t>
      </w:r>
      <w:r>
        <w:rPr>
          <w:rFonts w:hint="eastAsia" w:ascii="黑体" w:hAnsi="黑体" w:eastAsia="黑体" w:cs="黑体"/>
        </w:rPr>
        <w:t>度一般公共预算财政拨款“三公”经费支出决算情况说明</w:t>
      </w:r>
    </w:p>
    <w:p>
      <w:pPr>
        <w:pStyle w:val="3"/>
        <w:kinsoku w:val="0"/>
        <w:overflowPunct w:val="0"/>
        <w:spacing w:line="317" w:lineRule="auto"/>
        <w:ind w:left="0" w:right="276" w:firstLine="640" w:firstLineChars="200"/>
        <w:jc w:val="both"/>
        <w:rPr>
          <w:spacing w:val="-1"/>
        </w:rPr>
      </w:pPr>
      <w:r>
        <w:rPr>
          <w:rFonts w:hint="eastAsia"/>
        </w:rPr>
        <w:t>焦作西部产业集聚区管委会</w:t>
      </w:r>
      <w:r>
        <w:rPr>
          <w:spacing w:val="-1"/>
        </w:rPr>
        <w:t>2016</w:t>
      </w:r>
      <w:r>
        <w:rPr>
          <w:rFonts w:hint="eastAsia"/>
          <w:spacing w:val="-1"/>
        </w:rPr>
        <w:t>年度“三公”经费财政拨款支</w:t>
      </w:r>
      <w:r>
        <w:rPr>
          <w:rFonts w:hint="eastAsia"/>
          <w:spacing w:val="26"/>
        </w:rPr>
        <w:t>出预算为</w:t>
      </w:r>
      <w:r>
        <w:rPr>
          <w:spacing w:val="-1"/>
        </w:rPr>
        <w:t>14.8</w:t>
      </w:r>
      <w:r>
        <w:rPr>
          <w:rFonts w:hint="eastAsia"/>
          <w:spacing w:val="-1"/>
        </w:rPr>
        <w:t>万元，支出决算为</w:t>
      </w:r>
      <w:r>
        <w:rPr>
          <w:spacing w:val="-1"/>
        </w:rPr>
        <w:t>16.83</w:t>
      </w:r>
      <w:r>
        <w:rPr>
          <w:rFonts w:hint="eastAsia"/>
          <w:spacing w:val="-1"/>
        </w:rPr>
        <w:t>万元，超预算的</w:t>
      </w:r>
      <w:r>
        <w:rPr>
          <w:spacing w:val="-1"/>
        </w:rPr>
        <w:t>13.72%</w:t>
      </w:r>
      <w:r>
        <w:rPr>
          <w:rFonts w:hint="eastAsia"/>
          <w:spacing w:val="-1"/>
        </w:rPr>
        <w:t>，具体支出情况如下：</w:t>
      </w:r>
    </w:p>
    <w:p>
      <w:pPr>
        <w:pStyle w:val="3"/>
        <w:kinsoku w:val="0"/>
        <w:overflowPunct w:val="0"/>
        <w:spacing w:line="317" w:lineRule="auto"/>
        <w:ind w:left="0" w:right="276" w:firstLine="636" w:firstLineChars="200"/>
        <w:jc w:val="both"/>
        <w:rPr>
          <w:spacing w:val="-1"/>
        </w:rPr>
      </w:pPr>
      <w:r>
        <w:rPr>
          <w:spacing w:val="-1"/>
        </w:rPr>
        <w:t>1</w:t>
      </w:r>
      <w:r>
        <w:rPr>
          <w:rFonts w:hint="eastAsia"/>
          <w:spacing w:val="-1"/>
        </w:rPr>
        <w:t>、</w:t>
      </w:r>
      <w:r>
        <w:rPr>
          <w:spacing w:val="-1"/>
        </w:rPr>
        <w:t>2016</w:t>
      </w:r>
      <w:r>
        <w:rPr>
          <w:rFonts w:hint="eastAsia"/>
          <w:spacing w:val="-1"/>
        </w:rPr>
        <w:t>年公务用车购置及运行费支出决算为</w:t>
      </w:r>
      <w:r>
        <w:rPr>
          <w:spacing w:val="-1"/>
        </w:rPr>
        <w:t>13.44</w:t>
      </w:r>
      <w:r>
        <w:rPr>
          <w:rFonts w:hint="eastAsia"/>
          <w:spacing w:val="-1"/>
        </w:rPr>
        <w:t>万元，</w:t>
      </w:r>
      <w:r>
        <w:rPr>
          <w:rFonts w:hint="eastAsia"/>
          <w:spacing w:val="-1"/>
          <w:lang w:eastAsia="zh-CN"/>
        </w:rPr>
        <w:t>公务车购置费</w:t>
      </w:r>
      <w:r>
        <w:rPr>
          <w:rFonts w:hint="eastAsia"/>
          <w:spacing w:val="-1"/>
          <w:lang w:val="en-US" w:eastAsia="zh-CN"/>
        </w:rPr>
        <w:t>0元，支出</w:t>
      </w:r>
      <w:r>
        <w:rPr>
          <w:rFonts w:hint="eastAsia"/>
          <w:spacing w:val="-1"/>
        </w:rPr>
        <w:t>全部为公务用车运行维护费，包括</w:t>
      </w:r>
      <w:r>
        <w:rPr>
          <w:rFonts w:hint="eastAsia"/>
        </w:rPr>
        <w:t>车辆燃料费、维修费、过桥过路费、保险</w:t>
      </w:r>
      <w:bookmarkStart w:id="0" w:name="_GoBack"/>
      <w:bookmarkEnd w:id="0"/>
      <w:r>
        <w:rPr>
          <w:rFonts w:hint="eastAsia"/>
        </w:rPr>
        <w:t>费等</w:t>
      </w:r>
      <w:r>
        <w:rPr>
          <w:rFonts w:hint="eastAsia"/>
          <w:spacing w:val="-1"/>
        </w:rPr>
        <w:t>。年初预算</w:t>
      </w:r>
      <w:r>
        <w:rPr>
          <w:spacing w:val="-1"/>
        </w:rPr>
        <w:t>7.2</w:t>
      </w:r>
      <w:r>
        <w:rPr>
          <w:rFonts w:hint="eastAsia"/>
          <w:spacing w:val="-1"/>
        </w:rPr>
        <w:t>万元，超预算</w:t>
      </w:r>
      <w:r>
        <w:rPr>
          <w:spacing w:val="-1"/>
        </w:rPr>
        <w:t>86.67%</w:t>
      </w:r>
      <w:r>
        <w:rPr>
          <w:rFonts w:hint="eastAsia"/>
          <w:spacing w:val="-1"/>
        </w:rPr>
        <w:t>；比</w:t>
      </w:r>
      <w:r>
        <w:rPr>
          <w:spacing w:val="-1"/>
        </w:rPr>
        <w:t>2015</w:t>
      </w:r>
      <w:r>
        <w:rPr>
          <w:rFonts w:hint="eastAsia"/>
          <w:spacing w:val="-1"/>
        </w:rPr>
        <w:t>年决算</w:t>
      </w:r>
      <w:r>
        <w:rPr>
          <w:spacing w:val="-1"/>
        </w:rPr>
        <w:t>20.66</w:t>
      </w:r>
      <w:r>
        <w:rPr>
          <w:rFonts w:hint="eastAsia"/>
          <w:spacing w:val="-1"/>
        </w:rPr>
        <w:t>万元减少</w:t>
      </w:r>
      <w:r>
        <w:rPr>
          <w:spacing w:val="-1"/>
        </w:rPr>
        <w:t>7.22</w:t>
      </w:r>
      <w:r>
        <w:rPr>
          <w:rFonts w:hint="eastAsia"/>
          <w:spacing w:val="-1"/>
        </w:rPr>
        <w:t>万元。</w:t>
      </w:r>
      <w:r>
        <w:rPr>
          <w:spacing w:val="-1"/>
        </w:rPr>
        <w:t>2016</w:t>
      </w:r>
      <w:r>
        <w:rPr>
          <w:rFonts w:hint="eastAsia"/>
          <w:spacing w:val="-1"/>
        </w:rPr>
        <w:t>年公务运行维护费虽比</w:t>
      </w:r>
      <w:r>
        <w:rPr>
          <w:spacing w:val="-1"/>
        </w:rPr>
        <w:t>2015</w:t>
      </w:r>
      <w:r>
        <w:rPr>
          <w:rFonts w:hint="eastAsia"/>
          <w:spacing w:val="-1"/>
        </w:rPr>
        <w:t>年有所下降，但由于</w:t>
      </w:r>
      <w:r>
        <w:rPr>
          <w:spacing w:val="-1"/>
        </w:rPr>
        <w:t>2016</w:t>
      </w:r>
      <w:r>
        <w:rPr>
          <w:rFonts w:hint="eastAsia"/>
          <w:spacing w:val="-1"/>
        </w:rPr>
        <w:t>年东西冯封拆迁任务加重，临时性任务增多，下乡清点附着物需要大量人力物力配合，是公务用车维护费超预算的主要因素。</w:t>
      </w:r>
    </w:p>
    <w:p>
      <w:pPr>
        <w:pStyle w:val="3"/>
        <w:kinsoku w:val="0"/>
        <w:overflowPunct w:val="0"/>
        <w:spacing w:line="337" w:lineRule="auto"/>
        <w:ind w:left="15" w:right="117" w:firstLine="636" w:firstLineChars="200"/>
        <w:jc w:val="both"/>
        <w:rPr>
          <w:spacing w:val="-1"/>
        </w:rPr>
      </w:pPr>
      <w:r>
        <w:rPr>
          <w:spacing w:val="-1"/>
        </w:rPr>
        <w:t>2</w:t>
      </w:r>
      <w:r>
        <w:rPr>
          <w:rFonts w:hint="eastAsia"/>
          <w:spacing w:val="-1"/>
        </w:rPr>
        <w:t>、</w:t>
      </w:r>
      <w:r>
        <w:rPr>
          <w:spacing w:val="-1"/>
        </w:rPr>
        <w:t>201</w:t>
      </w:r>
      <w:r>
        <w:t>6</w:t>
      </w:r>
      <w:r>
        <w:rPr>
          <w:rFonts w:hint="eastAsia"/>
          <w:spacing w:val="-1"/>
        </w:rPr>
        <w:t>年</w:t>
      </w:r>
      <w:r>
        <w:rPr>
          <w:rFonts w:hint="eastAsia"/>
          <w:spacing w:val="-16"/>
        </w:rPr>
        <w:t>度</w:t>
      </w:r>
      <w:r>
        <w:rPr>
          <w:rFonts w:hint="eastAsia"/>
          <w:spacing w:val="-1"/>
        </w:rPr>
        <w:t>公务接待费</w:t>
      </w:r>
      <w:r>
        <w:rPr>
          <w:spacing w:val="-1"/>
        </w:rPr>
        <w:t>3.39</w:t>
      </w:r>
      <w:r>
        <w:rPr>
          <w:rFonts w:hint="eastAsia"/>
          <w:spacing w:val="-1"/>
        </w:rPr>
        <w:t>万元，因公出国（境）费0万元，完成年初预算0万元的 0%</w:t>
      </w:r>
      <w:r>
        <w:rPr>
          <w:rFonts w:hint="eastAsia"/>
          <w:spacing w:val="-1"/>
          <w:lang w:eastAsia="zh-CN"/>
        </w:rPr>
        <w:t>，出国</w:t>
      </w:r>
      <w:r>
        <w:rPr>
          <w:rFonts w:hint="eastAsia"/>
          <w:spacing w:val="-1"/>
          <w:lang w:val="en-US" w:eastAsia="zh-CN"/>
        </w:rPr>
        <w:t>0人次</w:t>
      </w:r>
      <w:r>
        <w:rPr>
          <w:rFonts w:hint="eastAsia"/>
          <w:spacing w:val="-1"/>
          <w:lang w:eastAsia="zh-CN"/>
        </w:rPr>
        <w:t>；</w:t>
      </w:r>
      <w:r>
        <w:rPr>
          <w:rFonts w:hint="eastAsia"/>
          <w:spacing w:val="-1"/>
        </w:rPr>
        <w:t>共接待国内来访团组</w:t>
      </w:r>
      <w:r>
        <w:rPr>
          <w:rFonts w:hint="eastAsia"/>
          <w:spacing w:val="-1"/>
          <w:lang w:val="en-US" w:eastAsia="zh-CN"/>
        </w:rPr>
        <w:t>9</w:t>
      </w:r>
      <w:r>
        <w:rPr>
          <w:rFonts w:hint="eastAsia"/>
          <w:spacing w:val="-1"/>
        </w:rPr>
        <w:t>个、来访人员</w:t>
      </w:r>
      <w:r>
        <w:rPr>
          <w:rFonts w:hint="eastAsia"/>
          <w:spacing w:val="-1"/>
          <w:lang w:val="en-US" w:eastAsia="zh-CN"/>
        </w:rPr>
        <w:t>68</w:t>
      </w:r>
      <w:r>
        <w:rPr>
          <w:rFonts w:hint="eastAsia"/>
          <w:spacing w:val="-1"/>
        </w:rPr>
        <w:t>人次（不包括陪同人员）。年初预算</w:t>
      </w:r>
      <w:r>
        <w:rPr>
          <w:spacing w:val="-1"/>
        </w:rPr>
        <w:t>7.6</w:t>
      </w:r>
      <w:r>
        <w:rPr>
          <w:rFonts w:hint="eastAsia"/>
          <w:spacing w:val="-1"/>
        </w:rPr>
        <w:t>万元，完成预算的</w:t>
      </w:r>
      <w:r>
        <w:rPr>
          <w:spacing w:val="-1"/>
        </w:rPr>
        <w:t>44.60%</w:t>
      </w:r>
      <w:r>
        <w:rPr>
          <w:rFonts w:hint="eastAsia"/>
          <w:spacing w:val="-1"/>
        </w:rPr>
        <w:t>。比</w:t>
      </w:r>
      <w:r>
        <w:rPr>
          <w:spacing w:val="-1"/>
        </w:rPr>
        <w:t>2015</w:t>
      </w:r>
      <w:r>
        <w:rPr>
          <w:rFonts w:hint="eastAsia"/>
          <w:spacing w:val="-1"/>
        </w:rPr>
        <w:t>年决算数</w:t>
      </w:r>
      <w:r>
        <w:rPr>
          <w:spacing w:val="-1"/>
        </w:rPr>
        <w:t>6.29</w:t>
      </w:r>
      <w:r>
        <w:rPr>
          <w:rFonts w:hint="eastAsia"/>
          <w:spacing w:val="-1"/>
        </w:rPr>
        <w:t>万元减少</w:t>
      </w:r>
      <w:r>
        <w:rPr>
          <w:spacing w:val="-1"/>
        </w:rPr>
        <w:t>2.9</w:t>
      </w:r>
      <w:r>
        <w:rPr>
          <w:rFonts w:hint="eastAsia"/>
          <w:spacing w:val="-1"/>
        </w:rPr>
        <w:t>万元。</w:t>
      </w:r>
      <w:r>
        <w:rPr>
          <w:spacing w:val="-1"/>
        </w:rPr>
        <w:t>2016</w:t>
      </w:r>
      <w:r>
        <w:rPr>
          <w:rFonts w:hint="eastAsia"/>
          <w:spacing w:val="-1"/>
        </w:rPr>
        <w:t>年集聚区认真落实中央八项规定精神，坚持厉行勤俭节约，进一步规范公务接待，决算数大幅低于年初预算数及</w:t>
      </w:r>
      <w:r>
        <w:rPr>
          <w:spacing w:val="-1"/>
        </w:rPr>
        <w:t>2015</w:t>
      </w:r>
      <w:r>
        <w:rPr>
          <w:rFonts w:hint="eastAsia"/>
          <w:spacing w:val="-1"/>
        </w:rPr>
        <w:t>年决算数。</w:t>
      </w:r>
    </w:p>
    <w:p>
      <w:pPr>
        <w:pStyle w:val="3"/>
        <w:kinsoku w:val="0"/>
        <w:overflowPunct w:val="0"/>
        <w:spacing w:line="337" w:lineRule="auto"/>
        <w:ind w:left="15" w:right="117" w:firstLine="640" w:firstLineChars="200"/>
        <w:jc w:val="both"/>
      </w:pPr>
    </w:p>
    <w:p>
      <w:pPr>
        <w:adjustRightInd w:val="0"/>
        <w:snapToGrid w:val="0"/>
        <w:spacing w:line="360" w:lineRule="auto"/>
        <w:ind w:firstLine="640" w:firstLineChars="200"/>
        <w:outlineLvl w:val="1"/>
        <w:rPr>
          <w:rFonts w:ascii="黑体" w:hAnsi="黑体" w:eastAsia="黑体" w:cs="Times New Roman"/>
          <w:sz w:val="32"/>
          <w:szCs w:val="32"/>
        </w:rPr>
      </w:pPr>
      <w:r>
        <w:rPr>
          <w:rFonts w:hint="eastAsia" w:ascii="黑体" w:hAnsi="黑体" w:eastAsia="黑体" w:cs="黑体"/>
          <w:color w:val="000000"/>
          <w:sz w:val="32"/>
          <w:szCs w:val="32"/>
        </w:rPr>
        <w:t>八</w:t>
      </w:r>
      <w:r>
        <w:rPr>
          <w:rFonts w:hint="eastAsia" w:ascii="黑体" w:hAnsi="黑体" w:eastAsia="黑体" w:cs="黑体"/>
          <w:color w:val="000000"/>
        </w:rPr>
        <w:t>、</w:t>
      </w:r>
      <w:r>
        <w:rPr>
          <w:rFonts w:hint="eastAsia" w:ascii="黑体" w:hAnsi="黑体" w:eastAsia="黑体" w:cs="黑体"/>
          <w:sz w:val="32"/>
          <w:szCs w:val="32"/>
        </w:rPr>
        <w:t>关于政府性基金预算财政拨款支出决算情况说明</w:t>
      </w:r>
    </w:p>
    <w:p>
      <w:pPr>
        <w:pStyle w:val="3"/>
        <w:spacing w:line="317" w:lineRule="auto"/>
        <w:ind w:left="319" w:leftChars="152" w:right="276" w:firstLine="640" w:firstLineChars="200"/>
        <w:jc w:val="both"/>
        <w:rPr>
          <w:rFonts w:ascii="黑体" w:hAnsi="黑体" w:eastAsia="黑体" w:cs="黑体"/>
          <w:color w:val="000000"/>
        </w:rPr>
      </w:pPr>
      <w:r>
        <w:rPr>
          <w:rFonts w:hint="eastAsia" w:hAnsi="宋体" w:cs="宋体"/>
          <w:color w:val="000000"/>
        </w:rPr>
        <w:t>焦作西部产业集聚区管委会没有政府性基金收入，也没有政府性基金安排的支出</w:t>
      </w:r>
      <w:r>
        <w:rPr>
          <w:rFonts w:hint="eastAsia" w:ascii="宋体" w:hAnsi="宋体" w:cs="宋体"/>
          <w:color w:val="000000"/>
        </w:rPr>
        <w:t>。</w:t>
      </w:r>
    </w:p>
    <w:p>
      <w:pPr>
        <w:pStyle w:val="3"/>
        <w:spacing w:line="317" w:lineRule="auto"/>
        <w:ind w:left="0" w:right="276" w:firstLine="640" w:firstLineChars="200"/>
        <w:jc w:val="both"/>
        <w:rPr>
          <w:rFonts w:ascii="黑体" w:hAnsi="黑体" w:eastAsia="黑体" w:cs="黑体"/>
          <w:color w:val="000000"/>
        </w:rPr>
      </w:pPr>
      <w:r>
        <w:rPr>
          <w:rFonts w:hint="eastAsia" w:ascii="黑体" w:hAnsi="黑体" w:eastAsia="黑体" w:cs="黑体"/>
          <w:color w:val="000000"/>
        </w:rPr>
        <w:t>九、其他重要事项的情况说明</w:t>
      </w:r>
    </w:p>
    <w:p>
      <w:pPr>
        <w:pStyle w:val="3"/>
        <w:spacing w:line="317" w:lineRule="auto"/>
        <w:ind w:left="378" w:leftChars="180" w:right="276"/>
        <w:jc w:val="both"/>
        <w:rPr>
          <w:rFonts w:hAnsi="Times New Roman" w:cs="Times New Roman"/>
        </w:rPr>
      </w:pPr>
      <w:r>
        <w:rPr>
          <w:rFonts w:ascii="Times New Roman" w:hAnsi="Times New Roman" w:eastAsia="宋体" w:cs="Times New Roman"/>
          <w:color w:val="000000"/>
          <w:sz w:val="19"/>
          <w:szCs w:val="19"/>
        </w:rPr>
        <w:t xml:space="preserve">   </w:t>
      </w:r>
      <w:r>
        <w:rPr>
          <w:rFonts w:hAnsi="Times New Roman" w:cs="Times New Roman"/>
          <w:color w:val="000000"/>
        </w:rPr>
        <w:t xml:space="preserve">  </w:t>
      </w:r>
      <w:r>
        <w:rPr>
          <w:rFonts w:hint="eastAsia" w:hAnsi="Times New Roman" w:cs="Times New Roman"/>
        </w:rPr>
        <w:t>截止</w:t>
      </w:r>
      <w:r>
        <w:rPr>
          <w:rFonts w:hAnsi="Times New Roman" w:cs="Times New Roman"/>
        </w:rPr>
        <w:t>2016</w:t>
      </w:r>
      <w:r>
        <w:rPr>
          <w:rFonts w:hint="eastAsia" w:hAnsi="Times New Roman" w:cs="Times New Roman"/>
        </w:rPr>
        <w:t>年</w:t>
      </w:r>
      <w:r>
        <w:rPr>
          <w:rFonts w:hAnsi="Times New Roman" w:cs="Times New Roman"/>
        </w:rPr>
        <w:t>12</w:t>
      </w:r>
      <w:r>
        <w:rPr>
          <w:rFonts w:hint="eastAsia" w:hAnsi="Times New Roman" w:cs="Times New Roman"/>
        </w:rPr>
        <w:t>月</w:t>
      </w:r>
      <w:r>
        <w:rPr>
          <w:rFonts w:hAnsi="Times New Roman" w:cs="Times New Roman"/>
        </w:rPr>
        <w:t>31</w:t>
      </w:r>
      <w:r>
        <w:rPr>
          <w:rFonts w:hint="eastAsia" w:hAnsi="Times New Roman" w:cs="Times New Roman"/>
        </w:rPr>
        <w:t>日，焦作西部产业集聚区管委会共有公务用车</w:t>
      </w:r>
      <w:r>
        <w:rPr>
          <w:rFonts w:hAnsi="Times New Roman" w:cs="Times New Roman"/>
        </w:rPr>
        <w:t>1</w:t>
      </w:r>
      <w:r>
        <w:rPr>
          <w:rFonts w:hint="eastAsia" w:hAnsi="Times New Roman" w:cs="Times New Roman"/>
        </w:rPr>
        <w:t>辆，属一般公务用车。无单位价值</w:t>
      </w:r>
      <w:r>
        <w:rPr>
          <w:rFonts w:hAnsi="Times New Roman" w:cs="Times New Roman"/>
        </w:rPr>
        <w:t>50</w:t>
      </w:r>
      <w:r>
        <w:rPr>
          <w:rFonts w:hint="eastAsia" w:hAnsi="Times New Roman" w:cs="Times New Roman"/>
        </w:rPr>
        <w:t>万元以上的大型设备。</w:t>
      </w:r>
      <w:r>
        <w:rPr>
          <w:rFonts w:hAnsi="Times New Roman" w:cs="Times New Roman"/>
        </w:rPr>
        <w:t xml:space="preserve">    </w:t>
      </w:r>
    </w:p>
    <w:p>
      <w:pPr>
        <w:pStyle w:val="3"/>
        <w:spacing w:line="317" w:lineRule="auto"/>
        <w:ind w:left="378" w:leftChars="180" w:right="276"/>
        <w:jc w:val="both"/>
        <w:rPr>
          <w:rFonts w:hAnsi="Times New Roman" w:cs="Times New Roman"/>
        </w:rPr>
      </w:pPr>
    </w:p>
    <w:p>
      <w:pPr>
        <w:pStyle w:val="3"/>
        <w:spacing w:line="317" w:lineRule="auto"/>
        <w:ind w:left="378" w:leftChars="180" w:right="276"/>
        <w:jc w:val="both"/>
        <w:rPr>
          <w:rFonts w:hAnsi="Times New Roman" w:cs="Times New Roman"/>
        </w:rPr>
      </w:pPr>
    </w:p>
    <w:p>
      <w:pPr>
        <w:pStyle w:val="3"/>
        <w:numPr>
          <w:ilvl w:val="0"/>
          <w:numId w:val="0"/>
        </w:numPr>
        <w:spacing w:line="317" w:lineRule="auto"/>
        <w:ind w:right="276" w:rightChars="0"/>
        <w:jc w:val="center"/>
        <w:rPr>
          <w:rFonts w:hint="eastAsia" w:hAnsi="Times New Roman" w:eastAsia="仿宋_GB2312" w:cs="Times New Roman"/>
          <w:b/>
          <w:bCs/>
          <w:sz w:val="44"/>
          <w:szCs w:val="44"/>
          <w:lang w:eastAsia="zh-CN"/>
        </w:rPr>
      </w:pPr>
      <w:r>
        <w:rPr>
          <w:rFonts w:hint="eastAsia" w:hAnsi="Times New Roman" w:cs="Times New Roman"/>
          <w:b/>
          <w:bCs/>
          <w:sz w:val="44"/>
          <w:szCs w:val="44"/>
          <w:lang w:eastAsia="zh-CN"/>
        </w:rPr>
        <w:t>第四部分</w:t>
      </w:r>
      <w:r>
        <w:rPr>
          <w:rFonts w:hint="eastAsia" w:hAnsi="Times New Roman" w:cs="Times New Roman"/>
          <w:b/>
          <w:bCs/>
          <w:sz w:val="44"/>
          <w:szCs w:val="44"/>
          <w:lang w:val="en-US" w:eastAsia="zh-CN"/>
        </w:rPr>
        <w:t xml:space="preserve">  名词解释</w:t>
      </w:r>
    </w:p>
    <w:p>
      <w:pPr>
        <w:numPr>
          <w:ilvl w:val="0"/>
          <w:numId w:val="0"/>
        </w:numPr>
        <w:kinsoku w:val="0"/>
        <w:overflowPunct w:val="0"/>
        <w:autoSpaceDE w:val="0"/>
        <w:autoSpaceDN w:val="0"/>
        <w:adjustRightInd w:val="0"/>
        <w:snapToGrid w:val="0"/>
        <w:spacing w:line="360" w:lineRule="auto"/>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一、</w:t>
      </w:r>
      <w:r>
        <w:rPr>
          <w:rFonts w:hint="eastAsia" w:ascii="仿宋_GB2312" w:hAnsi="宋体" w:eastAsia="仿宋_GB2312" w:cs="Times New Roman"/>
          <w:sz w:val="32"/>
          <w:szCs w:val="32"/>
        </w:rPr>
        <w:t>财政拨款收入：指县级财政当年拨付的资金。</w:t>
      </w:r>
    </w:p>
    <w:p>
      <w:pPr>
        <w:numPr>
          <w:ilvl w:val="0"/>
          <w:numId w:val="0"/>
        </w:numPr>
        <w:kinsoku w:val="0"/>
        <w:overflowPunct w:val="0"/>
        <w:autoSpaceDE w:val="0"/>
        <w:autoSpaceDN w:val="0"/>
        <w:adjustRightInd w:val="0"/>
        <w:snapToGrid w:val="0"/>
        <w:spacing w:line="360" w:lineRule="auto"/>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二、</w:t>
      </w:r>
      <w:r>
        <w:rPr>
          <w:rFonts w:hint="eastAsia" w:ascii="仿宋_GB2312" w:hAnsi="宋体" w:eastAsia="仿宋_GB2312" w:cs="Times New Roman"/>
          <w:sz w:val="32"/>
          <w:szCs w:val="32"/>
        </w:rPr>
        <w:t>事业收入：指事业单位开展专业业务活动及辅助活动所取得的收入。</w:t>
      </w:r>
    </w:p>
    <w:p>
      <w:pPr>
        <w:numPr>
          <w:ilvl w:val="0"/>
          <w:numId w:val="0"/>
        </w:numPr>
        <w:kinsoku w:val="0"/>
        <w:overflowPunct w:val="0"/>
        <w:autoSpaceDE w:val="0"/>
        <w:autoSpaceDN w:val="0"/>
        <w:adjustRightInd w:val="0"/>
        <w:snapToGrid w:val="0"/>
        <w:spacing w:line="360" w:lineRule="auto"/>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三、</w:t>
      </w:r>
      <w:r>
        <w:rPr>
          <w:rFonts w:hint="eastAsia" w:ascii="仿宋_GB2312" w:hAnsi="宋体" w:eastAsia="仿宋_GB2312" w:cs="Times New Roman"/>
          <w:sz w:val="32"/>
          <w:szCs w:val="32"/>
        </w:rPr>
        <w:t>其他收入：指本部门取得的除"财政拨款收入"、"事业收入"、"经营收入"等以外的收入。</w:t>
      </w:r>
    </w:p>
    <w:p>
      <w:pPr>
        <w:numPr>
          <w:ilvl w:val="0"/>
          <w:numId w:val="0"/>
        </w:numPr>
        <w:kinsoku w:val="0"/>
        <w:overflowPunct w:val="0"/>
        <w:autoSpaceDE w:val="0"/>
        <w:autoSpaceDN w:val="0"/>
        <w:adjustRightInd w:val="0"/>
        <w:snapToGrid w:val="0"/>
        <w:spacing w:line="360" w:lineRule="auto"/>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四、</w:t>
      </w:r>
      <w:r>
        <w:rPr>
          <w:rFonts w:hint="eastAsia" w:ascii="仿宋_GB2312" w:hAnsi="宋体" w:eastAsia="仿宋_GB2312" w:cs="Times New Roman"/>
          <w:sz w:val="32"/>
          <w:szCs w:val="32"/>
        </w:rPr>
        <w:t>用事业基金弥补收支差额：指事业单位在当年的"财政拨款收入"、"事业收入"和"其他收入"不足以安排当年支出的情况下，使用以前年度积累的事业基金（事业单位当年收支相抵后按国家规定提取、用于弥补以后年度收支差额的基金）弥补当年收支缺口的资金。</w:t>
      </w:r>
    </w:p>
    <w:p>
      <w:pPr>
        <w:numPr>
          <w:ilvl w:val="0"/>
          <w:numId w:val="0"/>
        </w:numPr>
        <w:kinsoku w:val="0"/>
        <w:overflowPunct w:val="0"/>
        <w:autoSpaceDE w:val="0"/>
        <w:autoSpaceDN w:val="0"/>
        <w:adjustRightInd w:val="0"/>
        <w:snapToGrid w:val="0"/>
        <w:spacing w:line="360" w:lineRule="auto"/>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五、</w:t>
      </w:r>
      <w:r>
        <w:rPr>
          <w:rFonts w:hint="eastAsia" w:ascii="仿宋_GB2312" w:hAnsi="宋体" w:eastAsia="仿宋_GB2312" w:cs="Times New Roman"/>
          <w:sz w:val="32"/>
          <w:szCs w:val="32"/>
        </w:rPr>
        <w:t>"三公"经费：纳入县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numPr>
          <w:ilvl w:val="0"/>
          <w:numId w:val="0"/>
        </w:numPr>
        <w:kinsoku w:val="0"/>
        <w:overflowPunct w:val="0"/>
        <w:autoSpaceDE w:val="0"/>
        <w:autoSpaceDN w:val="0"/>
        <w:adjustRightInd w:val="0"/>
        <w:snapToGrid w:val="0"/>
        <w:spacing w:line="360" w:lineRule="auto"/>
        <w:ind w:firstLine="640" w:firstLineChars="200"/>
        <w:rPr>
          <w:rFonts w:ascii="仿宋_GB2312" w:hAnsi="宋体" w:eastAsia="仿宋_GB2312" w:cs="Times New Roman"/>
          <w:sz w:val="52"/>
          <w:szCs w:val="52"/>
          <w:highlight w:val="yellow"/>
        </w:rPr>
      </w:pPr>
      <w:r>
        <w:rPr>
          <w:rFonts w:hint="eastAsia" w:ascii="仿宋_GB2312" w:hAnsi="宋体" w:eastAsia="仿宋_GB2312" w:cs="Times New Roman"/>
          <w:sz w:val="32"/>
          <w:szCs w:val="32"/>
          <w:lang w:eastAsia="zh-CN"/>
        </w:rPr>
        <w:t>六、</w:t>
      </w:r>
      <w:r>
        <w:rPr>
          <w:rFonts w:hint="eastAsia" w:ascii="仿宋_GB2312" w:hAnsi="宋体" w:eastAsia="仿宋_GB2312" w:cs="Times New Roman"/>
          <w:sz w:val="32"/>
          <w:szCs w:val="32"/>
        </w:rPr>
        <w:t>机关运行经费：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numPr>
          <w:ilvl w:val="0"/>
          <w:numId w:val="0"/>
        </w:numPr>
        <w:kinsoku w:val="0"/>
        <w:overflowPunct w:val="0"/>
        <w:autoSpaceDE w:val="0"/>
        <w:autoSpaceDN w:val="0"/>
        <w:adjustRightInd w:val="0"/>
        <w:snapToGrid w:val="0"/>
        <w:spacing w:line="360" w:lineRule="auto"/>
        <w:rPr>
          <w:rFonts w:hint="eastAsia" w:ascii="仿宋_GB2312" w:hAnsi="宋体" w:eastAsia="仿宋_GB2312" w:cs="Times New Roman"/>
          <w:sz w:val="32"/>
          <w:szCs w:val="32"/>
        </w:rPr>
      </w:pPr>
    </w:p>
    <w:sectPr>
      <w:pgSz w:w="11906" w:h="16838"/>
      <w:pgMar w:top="1440" w:right="1531" w:bottom="1440" w:left="1587" w:header="850" w:footer="992" w:gutter="0"/>
      <w:pgNumType w:fmt="numberInDash"/>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隶书">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cs="Times New Roman"/>
      </w:rPr>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snapToGrid w:val="0"/>
                  <w:rPr>
                    <w:rFonts w:cs="Times New Roman"/>
                    <w:sz w:val="18"/>
                    <w:szCs w:val="18"/>
                  </w:rPr>
                </w:pPr>
                <w:r>
                  <w:fldChar w:fldCharType="begin"/>
                </w:r>
                <w:r>
                  <w:instrText xml:space="preserve"> PAGE  \* MERGEFORMAT </w:instrText>
                </w:r>
                <w:r>
                  <w:fldChar w:fldCharType="separate"/>
                </w:r>
                <w:r>
                  <w:rPr>
                    <w:sz w:val="18"/>
                    <w:szCs w:val="18"/>
                  </w:rPr>
                  <w:t>- 19 -</w:t>
                </w:r>
                <w:r>
                  <w:rPr>
                    <w:sz w:val="18"/>
                    <w:szCs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210"/>
  <w:drawingGridVerticalSpacing w:val="159"/>
  <w:displayVerticalDrawingGridEvery w:val="2"/>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BD9"/>
    <w:rsid w:val="00022485"/>
    <w:rsid w:val="00024719"/>
    <w:rsid w:val="000911A7"/>
    <w:rsid w:val="000B5A03"/>
    <w:rsid w:val="000D6205"/>
    <w:rsid w:val="001150B0"/>
    <w:rsid w:val="00172A27"/>
    <w:rsid w:val="001B1008"/>
    <w:rsid w:val="001F02C9"/>
    <w:rsid w:val="00235219"/>
    <w:rsid w:val="002511EF"/>
    <w:rsid w:val="00271709"/>
    <w:rsid w:val="002929B4"/>
    <w:rsid w:val="0031746C"/>
    <w:rsid w:val="00336D9F"/>
    <w:rsid w:val="00404CC0"/>
    <w:rsid w:val="004212DD"/>
    <w:rsid w:val="00440EA8"/>
    <w:rsid w:val="004D7860"/>
    <w:rsid w:val="00586062"/>
    <w:rsid w:val="005B30D0"/>
    <w:rsid w:val="005D4E5F"/>
    <w:rsid w:val="005E64A0"/>
    <w:rsid w:val="005F48F7"/>
    <w:rsid w:val="006C6723"/>
    <w:rsid w:val="00733FCD"/>
    <w:rsid w:val="008417E1"/>
    <w:rsid w:val="00841D27"/>
    <w:rsid w:val="0088481D"/>
    <w:rsid w:val="009108DE"/>
    <w:rsid w:val="00955AF4"/>
    <w:rsid w:val="009E70DE"/>
    <w:rsid w:val="00A000C5"/>
    <w:rsid w:val="00A070B9"/>
    <w:rsid w:val="00A26CD7"/>
    <w:rsid w:val="00A27E0B"/>
    <w:rsid w:val="00A45847"/>
    <w:rsid w:val="00A5137C"/>
    <w:rsid w:val="00A53EBF"/>
    <w:rsid w:val="00AD3BE9"/>
    <w:rsid w:val="00AF612E"/>
    <w:rsid w:val="00B432A4"/>
    <w:rsid w:val="00B458CF"/>
    <w:rsid w:val="00B72820"/>
    <w:rsid w:val="00B81097"/>
    <w:rsid w:val="00B921A6"/>
    <w:rsid w:val="00BF77DC"/>
    <w:rsid w:val="00C415CE"/>
    <w:rsid w:val="00C9597F"/>
    <w:rsid w:val="00CD71F9"/>
    <w:rsid w:val="00CE0F3B"/>
    <w:rsid w:val="00CF08C5"/>
    <w:rsid w:val="00D35CB5"/>
    <w:rsid w:val="00DF7441"/>
    <w:rsid w:val="00E11A40"/>
    <w:rsid w:val="00E30287"/>
    <w:rsid w:val="00E64074"/>
    <w:rsid w:val="00E8331B"/>
    <w:rsid w:val="00F65A91"/>
    <w:rsid w:val="04453648"/>
    <w:rsid w:val="05DB00B9"/>
    <w:rsid w:val="09BB2134"/>
    <w:rsid w:val="0CA434B9"/>
    <w:rsid w:val="0E4C156E"/>
    <w:rsid w:val="10BD4691"/>
    <w:rsid w:val="11585E8B"/>
    <w:rsid w:val="138F10A8"/>
    <w:rsid w:val="15492582"/>
    <w:rsid w:val="18F44D57"/>
    <w:rsid w:val="1D415527"/>
    <w:rsid w:val="1E7D3B34"/>
    <w:rsid w:val="22A51050"/>
    <w:rsid w:val="283D43BA"/>
    <w:rsid w:val="29B70F08"/>
    <w:rsid w:val="2BA4769A"/>
    <w:rsid w:val="2CD06EF4"/>
    <w:rsid w:val="2F335194"/>
    <w:rsid w:val="30963758"/>
    <w:rsid w:val="32EF40CE"/>
    <w:rsid w:val="34920D5F"/>
    <w:rsid w:val="35AB7798"/>
    <w:rsid w:val="35F160FE"/>
    <w:rsid w:val="372974AC"/>
    <w:rsid w:val="37515EC2"/>
    <w:rsid w:val="3949702E"/>
    <w:rsid w:val="3BE408BA"/>
    <w:rsid w:val="3C7F703B"/>
    <w:rsid w:val="3D70189E"/>
    <w:rsid w:val="42271DDB"/>
    <w:rsid w:val="43910C0D"/>
    <w:rsid w:val="48B52937"/>
    <w:rsid w:val="48EE3EF3"/>
    <w:rsid w:val="4C1E2F28"/>
    <w:rsid w:val="4CFC29CC"/>
    <w:rsid w:val="4D6E1856"/>
    <w:rsid w:val="4E097418"/>
    <w:rsid w:val="502C04C1"/>
    <w:rsid w:val="519F4372"/>
    <w:rsid w:val="51DE24AB"/>
    <w:rsid w:val="5651051D"/>
    <w:rsid w:val="56EC004A"/>
    <w:rsid w:val="57E961A8"/>
    <w:rsid w:val="581E77CF"/>
    <w:rsid w:val="58B06254"/>
    <w:rsid w:val="5AF25131"/>
    <w:rsid w:val="600176AC"/>
    <w:rsid w:val="65332BB8"/>
    <w:rsid w:val="664A46E0"/>
    <w:rsid w:val="66755D81"/>
    <w:rsid w:val="68A121F7"/>
    <w:rsid w:val="68A9241E"/>
    <w:rsid w:val="6B6D695A"/>
    <w:rsid w:val="6FD41D7F"/>
    <w:rsid w:val="72416639"/>
    <w:rsid w:val="72AA6710"/>
    <w:rsid w:val="738C1FE2"/>
    <w:rsid w:val="75531EF6"/>
    <w:rsid w:val="75D0003D"/>
    <w:rsid w:val="764F7877"/>
    <w:rsid w:val="7AA141FF"/>
    <w:rsid w:val="7C445B57"/>
    <w:rsid w:val="7D713C1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8"/>
    <w:qFormat/>
    <w:locked/>
    <w:uiPriority w:val="99"/>
    <w:pPr>
      <w:autoSpaceDE w:val="0"/>
      <w:autoSpaceDN w:val="0"/>
      <w:adjustRightInd w:val="0"/>
      <w:ind w:left="80"/>
      <w:jc w:val="left"/>
      <w:outlineLvl w:val="0"/>
    </w:pPr>
    <w:rPr>
      <w:rFonts w:ascii="黑体" w:hAnsi="黑体" w:eastAsia="黑体" w:cs="黑体"/>
      <w:kern w:val="0"/>
      <w:sz w:val="72"/>
      <w:szCs w:val="72"/>
    </w:rPr>
  </w:style>
  <w:style w:type="character" w:default="1" w:styleId="6">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4"/>
    <w:locked/>
    <w:uiPriority w:val="99"/>
    <w:pPr>
      <w:autoSpaceDE w:val="0"/>
      <w:autoSpaceDN w:val="0"/>
      <w:adjustRightInd w:val="0"/>
      <w:ind w:left="761"/>
      <w:jc w:val="left"/>
    </w:pPr>
    <w:rPr>
      <w:rFonts w:ascii="仿宋_GB2312" w:hAnsi="仿宋_GB2312" w:eastAsia="仿宋_GB2312" w:cs="仿宋_GB2312"/>
      <w:kern w:val="0"/>
      <w:sz w:val="32"/>
      <w:szCs w:val="32"/>
    </w:rPr>
  </w:style>
  <w:style w:type="paragraph" w:styleId="4">
    <w:name w:val="footer"/>
    <w:basedOn w:val="1"/>
    <w:link w:val="9"/>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character" w:customStyle="1" w:styleId="8">
    <w:name w:val="Heading 1 Char"/>
    <w:basedOn w:val="6"/>
    <w:link w:val="2"/>
    <w:locked/>
    <w:uiPriority w:val="99"/>
    <w:rPr>
      <w:rFonts w:ascii="Calibri" w:hAnsi="Calibri" w:cs="Calibri"/>
      <w:b/>
      <w:bCs/>
      <w:kern w:val="44"/>
      <w:sz w:val="44"/>
      <w:szCs w:val="44"/>
    </w:rPr>
  </w:style>
  <w:style w:type="character" w:customStyle="1" w:styleId="9">
    <w:name w:val="Footer Char"/>
    <w:basedOn w:val="6"/>
    <w:link w:val="4"/>
    <w:semiHidden/>
    <w:locked/>
    <w:uiPriority w:val="99"/>
    <w:rPr>
      <w:rFonts w:ascii="Calibri" w:hAnsi="Calibri" w:cs="Calibri"/>
      <w:sz w:val="18"/>
      <w:szCs w:val="18"/>
    </w:rPr>
  </w:style>
  <w:style w:type="character" w:customStyle="1" w:styleId="10">
    <w:name w:val="Header Char"/>
    <w:basedOn w:val="6"/>
    <w:link w:val="5"/>
    <w:semiHidden/>
    <w:qFormat/>
    <w:locked/>
    <w:uiPriority w:val="99"/>
    <w:rPr>
      <w:rFonts w:ascii="Calibri" w:hAnsi="Calibri" w:cs="Calibri"/>
      <w:sz w:val="18"/>
      <w:szCs w:val="18"/>
    </w:rPr>
  </w:style>
  <w:style w:type="character" w:customStyle="1" w:styleId="11">
    <w:name w:val="font31"/>
    <w:basedOn w:val="6"/>
    <w:uiPriority w:val="99"/>
    <w:rPr>
      <w:rFonts w:ascii="Arial" w:hAnsi="Arial" w:cs="Arial"/>
      <w:color w:val="000000"/>
      <w:sz w:val="16"/>
      <w:szCs w:val="16"/>
      <w:u w:val="none"/>
    </w:rPr>
  </w:style>
  <w:style w:type="character" w:customStyle="1" w:styleId="12">
    <w:name w:val="font01"/>
    <w:basedOn w:val="6"/>
    <w:uiPriority w:val="99"/>
    <w:rPr>
      <w:rFonts w:ascii="Arial" w:hAnsi="Arial" w:cs="Arial"/>
      <w:color w:val="000000"/>
      <w:sz w:val="16"/>
      <w:szCs w:val="16"/>
      <w:u w:val="none"/>
    </w:rPr>
  </w:style>
  <w:style w:type="character" w:customStyle="1" w:styleId="13">
    <w:name w:val="font41"/>
    <w:basedOn w:val="6"/>
    <w:uiPriority w:val="99"/>
    <w:rPr>
      <w:rFonts w:ascii="宋体" w:hAnsi="宋体" w:eastAsia="宋体" w:cs="宋体"/>
      <w:color w:val="000000"/>
      <w:sz w:val="16"/>
      <w:szCs w:val="16"/>
      <w:u w:val="none"/>
    </w:rPr>
  </w:style>
  <w:style w:type="character" w:customStyle="1" w:styleId="14">
    <w:name w:val="Body Text Char"/>
    <w:basedOn w:val="6"/>
    <w:link w:val="3"/>
    <w:semiHidden/>
    <w:locked/>
    <w:uiPriority w:val="99"/>
    <w:rPr>
      <w:rFonts w:ascii="Calibri" w:hAnsi="Calibri" w:cs="Calibri"/>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21</Pages>
  <Words>1349</Words>
  <Characters>7693</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wsj</dc:creator>
  <cp:lastModifiedBy>Administrator</cp:lastModifiedBy>
  <cp:lastPrinted>2017-10-20T09:37:00Z</cp:lastPrinted>
  <dcterms:modified xsi:type="dcterms:W3CDTF">2017-11-17T07:56:19Z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