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仿宋_GB2312" w:hAnsi="仿宋_GB2312" w:eastAsia="仿宋_GB2312" w:cs="Times New Roman"/>
          <w:sz w:val="44"/>
          <w:szCs w:val="44"/>
        </w:rPr>
      </w:pPr>
      <w:r>
        <w:rPr>
          <w:rFonts w:hint="eastAsia" w:ascii="隶书" w:hAnsi="隶书" w:eastAsia="隶书" w:cs="隶书"/>
          <w:sz w:val="52"/>
          <w:szCs w:val="52"/>
          <w:lang w:eastAsia="zh-CN"/>
        </w:rPr>
        <w:t>中站区安全生产监督管理</w:t>
      </w:r>
      <w:r>
        <w:rPr>
          <w:rFonts w:hint="eastAsia" w:ascii="隶书" w:hAnsi="隶书" w:eastAsia="隶书" w:cs="隶书"/>
          <w:sz w:val="52"/>
          <w:szCs w:val="52"/>
        </w:rPr>
        <w:t>局</w:t>
      </w:r>
    </w:p>
    <w:p>
      <w:pPr>
        <w:jc w:val="center"/>
        <w:rPr>
          <w:rFonts w:ascii="黑体" w:hAnsi="黑体" w:eastAsia="黑体" w:cs="Times New Roman"/>
          <w:sz w:val="52"/>
          <w:szCs w:val="52"/>
        </w:rPr>
      </w:pPr>
    </w:p>
    <w:p>
      <w:pPr>
        <w:jc w:val="center"/>
        <w:rPr>
          <w:rFonts w:ascii="隶书" w:hAnsi="隶书" w:eastAsia="隶书" w:cs="Times New Roman"/>
          <w:sz w:val="52"/>
          <w:szCs w:val="5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start="1"/>
          <w:cols w:space="0" w:num="1"/>
          <w:docGrid w:type="lines" w:linePitch="317" w:charSpace="0"/>
        </w:sectPr>
      </w:pPr>
      <w:r>
        <w:rPr>
          <w:rFonts w:ascii="隶书" w:hAnsi="隶书" w:eastAsia="隶书" w:cs="隶书"/>
          <w:sz w:val="52"/>
          <w:szCs w:val="52"/>
        </w:rPr>
        <w:t>2016</w:t>
      </w:r>
      <w:r>
        <w:rPr>
          <w:rFonts w:hint="eastAsia" w:ascii="隶书" w:hAnsi="隶书" w:eastAsia="隶书" w:cs="隶书"/>
          <w:sz w:val="52"/>
          <w:szCs w:val="52"/>
        </w:rPr>
        <w:t>年度部门决算</w:t>
      </w:r>
    </w:p>
    <w:p>
      <w:pPr>
        <w:jc w:val="center"/>
        <w:rPr>
          <w:rFonts w:ascii="黑体" w:hAnsi="黑体" w:eastAsia="黑体" w:cs="Times New Roman"/>
          <w:sz w:val="36"/>
          <w:szCs w:val="36"/>
        </w:rPr>
      </w:pPr>
      <w:r>
        <w:rPr>
          <w:rFonts w:hint="eastAsia" w:ascii="黑体" w:hAnsi="黑体" w:eastAsia="黑体" w:cs="黑体"/>
          <w:sz w:val="36"/>
          <w:szCs w:val="36"/>
        </w:rPr>
        <w:t>目　　录</w:t>
      </w:r>
    </w:p>
    <w:p>
      <w:pPr>
        <w:jc w:val="left"/>
        <w:rPr>
          <w:rFonts w:ascii="黑体" w:hAnsi="黑体" w:eastAsia="黑体" w:cs="Times New Roman"/>
          <w:sz w:val="32"/>
          <w:szCs w:val="32"/>
        </w:rPr>
      </w:pPr>
      <w:r>
        <w:rPr>
          <w:rFonts w:hint="eastAsia" w:ascii="黑体" w:hAnsi="黑体" w:eastAsia="黑体" w:cs="黑体"/>
          <w:sz w:val="32"/>
          <w:szCs w:val="32"/>
        </w:rPr>
        <w:t>第一部分　　</w:t>
      </w:r>
      <w:r>
        <w:rPr>
          <w:rFonts w:hint="eastAsia" w:ascii="黑体" w:hAnsi="黑体" w:eastAsia="黑体" w:cs="黑体"/>
          <w:sz w:val="32"/>
          <w:szCs w:val="32"/>
          <w:lang w:eastAsia="zh-CN"/>
        </w:rPr>
        <w:t>区安监局</w:t>
      </w:r>
      <w:r>
        <w:rPr>
          <w:rFonts w:hint="eastAsia" w:ascii="黑体" w:hAnsi="黑体" w:eastAsia="黑体" w:cs="黑体"/>
          <w:sz w:val="32"/>
          <w:szCs w:val="32"/>
        </w:rPr>
        <w:t>概况</w:t>
      </w:r>
    </w:p>
    <w:p>
      <w:pPr>
        <w:numPr>
          <w:ilvl w:val="0"/>
          <w:numId w:val="1"/>
        </w:numPr>
        <w:jc w:val="left"/>
        <w:rPr>
          <w:rFonts w:ascii="宋体" w:cs="Times New Roman"/>
          <w:sz w:val="32"/>
          <w:szCs w:val="32"/>
        </w:rPr>
      </w:pPr>
      <w:r>
        <w:rPr>
          <w:rFonts w:hint="eastAsia" w:ascii="宋体" w:hAnsi="宋体" w:cs="宋体"/>
          <w:sz w:val="32"/>
          <w:szCs w:val="32"/>
        </w:rPr>
        <w:t>主要职责</w:t>
      </w:r>
    </w:p>
    <w:p>
      <w:pPr>
        <w:numPr>
          <w:ilvl w:val="0"/>
          <w:numId w:val="1"/>
        </w:numPr>
        <w:jc w:val="left"/>
        <w:rPr>
          <w:rFonts w:ascii="宋体" w:cs="Times New Roman"/>
          <w:sz w:val="32"/>
          <w:szCs w:val="32"/>
        </w:rPr>
      </w:pPr>
      <w:r>
        <w:rPr>
          <w:rFonts w:hint="eastAsia" w:ascii="宋体" w:hAnsi="宋体" w:cs="宋体"/>
          <w:sz w:val="32"/>
          <w:szCs w:val="32"/>
        </w:rPr>
        <w:t>部门决算单位构成</w:t>
      </w:r>
    </w:p>
    <w:p>
      <w:pPr>
        <w:jc w:val="left"/>
        <w:rPr>
          <w:rFonts w:ascii="黑体" w:hAnsi="黑体" w:eastAsia="黑体" w:cs="Times New Roman"/>
          <w:sz w:val="32"/>
          <w:szCs w:val="32"/>
        </w:rPr>
      </w:pPr>
      <w:r>
        <w:rPr>
          <w:rFonts w:hint="eastAsia" w:ascii="黑体" w:hAnsi="黑体" w:eastAsia="黑体" w:cs="黑体"/>
          <w:sz w:val="32"/>
          <w:szCs w:val="32"/>
        </w:rPr>
        <w:t>第二部分　　</w:t>
      </w:r>
      <w:r>
        <w:rPr>
          <w:rFonts w:hint="eastAsia" w:ascii="黑体" w:hAnsi="黑体" w:eastAsia="黑体" w:cs="黑体"/>
          <w:sz w:val="32"/>
          <w:szCs w:val="32"/>
          <w:lang w:eastAsia="zh-CN"/>
        </w:rPr>
        <w:t>区安监局</w:t>
      </w:r>
      <w:r>
        <w:rPr>
          <w:rFonts w:ascii="黑体" w:hAnsi="黑体" w:eastAsia="黑体" w:cs="黑体"/>
          <w:sz w:val="32"/>
          <w:szCs w:val="32"/>
        </w:rPr>
        <w:t>2016</w:t>
      </w:r>
      <w:r>
        <w:rPr>
          <w:rFonts w:hint="eastAsia" w:ascii="黑体" w:hAnsi="黑体" w:eastAsia="黑体" w:cs="黑体"/>
          <w:sz w:val="32"/>
          <w:szCs w:val="32"/>
        </w:rPr>
        <w:t>年度部门决算表</w:t>
      </w:r>
    </w:p>
    <w:p>
      <w:pPr>
        <w:jc w:val="left"/>
        <w:rPr>
          <w:rFonts w:ascii="宋体" w:cs="Times New Roman"/>
          <w:sz w:val="32"/>
          <w:szCs w:val="32"/>
        </w:rPr>
      </w:pPr>
      <w:r>
        <w:rPr>
          <w:rFonts w:hint="eastAsia" w:ascii="宋体" w:hAnsi="宋体" w:cs="宋体"/>
          <w:sz w:val="32"/>
          <w:szCs w:val="32"/>
        </w:rPr>
        <w:t>一、收入支出决算总表</w:t>
      </w:r>
    </w:p>
    <w:p>
      <w:pPr>
        <w:jc w:val="left"/>
        <w:rPr>
          <w:rFonts w:ascii="宋体" w:cs="Times New Roman"/>
          <w:sz w:val="32"/>
          <w:szCs w:val="32"/>
        </w:rPr>
      </w:pPr>
      <w:r>
        <w:rPr>
          <w:rFonts w:hint="eastAsia" w:ascii="宋体" w:hAnsi="宋体" w:cs="宋体"/>
          <w:sz w:val="32"/>
          <w:szCs w:val="32"/>
        </w:rPr>
        <w:t>二、收入决算表</w:t>
      </w:r>
    </w:p>
    <w:p>
      <w:pPr>
        <w:jc w:val="left"/>
        <w:rPr>
          <w:rFonts w:ascii="宋体" w:cs="Times New Roman"/>
          <w:sz w:val="32"/>
          <w:szCs w:val="32"/>
        </w:rPr>
      </w:pPr>
      <w:r>
        <w:rPr>
          <w:rFonts w:hint="eastAsia" w:ascii="宋体" w:hAnsi="宋体" w:cs="宋体"/>
          <w:sz w:val="32"/>
          <w:szCs w:val="32"/>
        </w:rPr>
        <w:t>三、支出决算表</w:t>
      </w:r>
    </w:p>
    <w:p>
      <w:pPr>
        <w:jc w:val="left"/>
        <w:rPr>
          <w:rFonts w:ascii="宋体" w:cs="Times New Roman"/>
          <w:sz w:val="32"/>
          <w:szCs w:val="32"/>
        </w:rPr>
      </w:pPr>
      <w:r>
        <w:rPr>
          <w:rFonts w:hint="eastAsia" w:ascii="宋体" w:hAnsi="宋体" w:cs="宋体"/>
          <w:sz w:val="32"/>
          <w:szCs w:val="32"/>
        </w:rPr>
        <w:t>四、财政拨款收入支出决算总表</w:t>
      </w:r>
    </w:p>
    <w:p>
      <w:pPr>
        <w:jc w:val="left"/>
        <w:rPr>
          <w:rFonts w:ascii="宋体" w:cs="Times New Roman"/>
          <w:sz w:val="32"/>
          <w:szCs w:val="32"/>
        </w:rPr>
      </w:pPr>
      <w:r>
        <w:rPr>
          <w:rFonts w:hint="eastAsia" w:ascii="宋体" w:hAnsi="宋体" w:cs="宋体"/>
          <w:sz w:val="32"/>
          <w:szCs w:val="32"/>
        </w:rPr>
        <w:t>五、一般公共预算财政拨款支出决算表</w:t>
      </w:r>
    </w:p>
    <w:p>
      <w:pPr>
        <w:jc w:val="left"/>
        <w:rPr>
          <w:rFonts w:ascii="宋体" w:cs="Times New Roman"/>
          <w:sz w:val="32"/>
          <w:szCs w:val="32"/>
        </w:rPr>
      </w:pPr>
      <w:r>
        <w:rPr>
          <w:rFonts w:hint="eastAsia" w:ascii="宋体" w:hAnsi="宋体" w:cs="宋体"/>
          <w:sz w:val="32"/>
          <w:szCs w:val="32"/>
        </w:rPr>
        <w:t>六、一般公共预算财政拨款基本支出决算表</w:t>
      </w:r>
    </w:p>
    <w:p>
      <w:pPr>
        <w:jc w:val="left"/>
        <w:rPr>
          <w:rFonts w:ascii="宋体" w:cs="Times New Roman"/>
          <w:sz w:val="32"/>
          <w:szCs w:val="32"/>
        </w:rPr>
      </w:pPr>
      <w:r>
        <w:rPr>
          <w:rFonts w:hint="eastAsia" w:ascii="宋体" w:hAnsi="宋体" w:cs="宋体"/>
          <w:sz w:val="32"/>
          <w:szCs w:val="32"/>
        </w:rPr>
        <w:t>七、一般公共预算财政拨款“三公”经费支出决算表</w:t>
      </w:r>
    </w:p>
    <w:p>
      <w:pPr>
        <w:jc w:val="left"/>
        <w:rPr>
          <w:rFonts w:ascii="宋体" w:cs="Times New Roman"/>
          <w:sz w:val="32"/>
          <w:szCs w:val="32"/>
        </w:rPr>
      </w:pPr>
      <w:r>
        <w:rPr>
          <w:rFonts w:hint="eastAsia" w:ascii="宋体" w:hAnsi="宋体" w:cs="宋体"/>
          <w:sz w:val="32"/>
          <w:szCs w:val="32"/>
        </w:rPr>
        <w:t>八、政府性基金预算财政拨款收入支出决算表</w:t>
      </w:r>
    </w:p>
    <w:p>
      <w:pPr>
        <w:jc w:val="left"/>
        <w:rPr>
          <w:rFonts w:ascii="黑体" w:hAnsi="黑体" w:eastAsia="黑体" w:cs="Times New Roman"/>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区安监局</w:t>
      </w:r>
      <w:r>
        <w:rPr>
          <w:rFonts w:ascii="黑体" w:hAnsi="黑体" w:eastAsia="黑体" w:cs="黑体"/>
          <w:sz w:val="32"/>
          <w:szCs w:val="32"/>
        </w:rPr>
        <w:t>2016</w:t>
      </w:r>
      <w:r>
        <w:rPr>
          <w:rFonts w:hint="eastAsia" w:ascii="黑体" w:hAnsi="黑体" w:eastAsia="黑体" w:cs="黑体"/>
          <w:sz w:val="32"/>
          <w:szCs w:val="32"/>
        </w:rPr>
        <w:t>年度部门决算情况说明</w:t>
      </w:r>
    </w:p>
    <w:p>
      <w:pPr>
        <w:jc w:val="left"/>
        <w:rPr>
          <w:rFonts w:ascii="黑体" w:hAnsi="黑体" w:eastAsia="黑体" w:cs="Times New Roman"/>
          <w:sz w:val="32"/>
          <w:szCs w:val="32"/>
        </w:rPr>
        <w:sectPr>
          <w:footerReference r:id="rId3" w:type="default"/>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r>
        <w:rPr>
          <w:rFonts w:hint="eastAsia" w:ascii="黑体" w:hAnsi="黑体" w:eastAsia="黑体" w:cs="黑体"/>
          <w:sz w:val="32"/>
          <w:szCs w:val="32"/>
        </w:rPr>
        <w:t>第四部分　　名词解释</w:t>
      </w: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sectPr>
          <w:footerReference r:id="rId4" w:type="default"/>
          <w:pgSz w:w="11906" w:h="16838"/>
          <w:pgMar w:top="1440" w:right="1531" w:bottom="1440" w:left="1587" w:header="850" w:footer="992" w:gutter="0"/>
          <w:pgBorders>
            <w:top w:val="none" w:sz="0" w:space="0"/>
            <w:left w:val="none" w:sz="0" w:space="0"/>
            <w:bottom w:val="none" w:sz="0" w:space="0"/>
            <w:right w:val="none" w:sz="0" w:space="0"/>
          </w:pgBorders>
          <w:pgNumType w:fmt="numberInDash" w:start="1"/>
          <w:cols w:space="0" w:num="1"/>
          <w:docGrid w:type="lines" w:linePitch="317" w:charSpace="0"/>
        </w:sectPr>
      </w:pPr>
      <w:r>
        <w:rPr>
          <w:rFonts w:hint="eastAsia" w:ascii="隶书" w:hAnsi="隶书" w:eastAsia="隶书" w:cs="隶书"/>
          <w:sz w:val="48"/>
          <w:szCs w:val="48"/>
        </w:rPr>
        <w:t>第一部分　　</w:t>
      </w:r>
      <w:r>
        <w:rPr>
          <w:rFonts w:hint="eastAsia" w:ascii="隶书" w:hAnsi="隶书" w:eastAsia="隶书" w:cs="隶书"/>
          <w:sz w:val="48"/>
          <w:szCs w:val="48"/>
          <w:lang w:eastAsia="zh-CN"/>
        </w:rPr>
        <w:t>区安监局</w:t>
      </w:r>
      <w:r>
        <w:rPr>
          <w:rFonts w:hint="eastAsia" w:ascii="隶书" w:hAnsi="隶书" w:eastAsia="隶书" w:cs="隶书"/>
          <w:sz w:val="48"/>
          <w:szCs w:val="48"/>
        </w:rPr>
        <w:t>概况</w:t>
      </w:r>
    </w:p>
    <w:p>
      <w:pPr>
        <w:numPr>
          <w:ilvl w:val="0"/>
          <w:numId w:val="2"/>
        </w:numPr>
        <w:spacing w:line="360" w:lineRule="auto"/>
        <w:ind w:firstLine="640" w:firstLineChars="200"/>
        <w:jc w:val="left"/>
        <w:outlineLvl w:val="1"/>
        <w:rPr>
          <w:rFonts w:ascii="黑体" w:hAnsi="黑体" w:eastAsia="黑体" w:cs="Times New Roman"/>
          <w:sz w:val="32"/>
          <w:szCs w:val="32"/>
        </w:rPr>
      </w:pPr>
      <w:r>
        <w:rPr>
          <w:rFonts w:hint="eastAsia" w:ascii="黑体" w:hAnsi="黑体" w:eastAsia="黑体" w:cs="黑体"/>
          <w:sz w:val="32"/>
          <w:szCs w:val="32"/>
        </w:rPr>
        <w:t>主要职责</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1、组织起草全区安全生产方面的规范性文件草案，研究拟订安全生产工作规划；</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2、指导协调全区安全生产工作。</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3、承担全区安全生产综合监督管理职责；</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4、按照行业主管、属地监管的原则，依法监督检查工矿商贸生产经营单位贯彻执行安全生产法律法规情况及安全生产条件和有关设备（特种设备除外，下同）、材料、劳动保护用品的安全生产管理工作；</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5、承担工矿商贸作业场所职业卫生监督检查职责；</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6、承担非煤矿山、危险化学品和烟花爆竹安全生产的综合监督管理工作，负责非煤矿山、危险化学品和烟花爆竹安全生产、经营许可证审核、上报和管理工作；</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7、负责组织全区安全生产大检查和专项检查，根据区政府授权，依法组织生产安全事故的调查处理和结案批复工作，监督事故查处和责任追究的落实情况；</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8、负责监督检查职责范围内新建、改建、扩建工程项目的安全设施与主体工程同时设计、同时施工、同时投产使用情况；</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9、负责组织、协调生产安全事故应急救援工作，综合管理全区生产安全伤亡事故和安全生产行政执法统计分析工作；</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10、监督实施生产经营单位安全生产标准和规程，依法监督检查生产经营单位重大危险源监控、重大事故隐患排查治理工作，依法查处不具备安全生产条件的工矿商贸生产经营单位；</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11、组织、指导全区安全生产宣传教育工作；</w:t>
      </w:r>
      <w:r>
        <w:rPr>
          <w:rFonts w:hint="eastAsia" w:ascii="宋体" w:hAnsi="宋体" w:eastAsia="宋体"/>
          <w:color w:val="2B2B2B"/>
          <w:sz w:val="32"/>
          <w:lang w:val="en-US" w:eastAsia="zh-CN"/>
        </w:rPr>
        <w:t xml:space="preserve"> </w:t>
      </w:r>
    </w:p>
    <w:p>
      <w:pPr>
        <w:widowControl/>
        <w:spacing w:line="500" w:lineRule="exact"/>
        <w:ind w:firstLine="480"/>
        <w:rPr>
          <w:rFonts w:hint="default"/>
          <w:sz w:val="32"/>
        </w:rPr>
      </w:pPr>
      <w:r>
        <w:rPr>
          <w:rFonts w:hint="eastAsia" w:ascii="仿宋_GB2312" w:hAnsi="仿宋_GB2312" w:eastAsia="仿宋_GB2312"/>
          <w:color w:val="auto"/>
          <w:sz w:val="32"/>
          <w:lang w:val="en-US" w:eastAsia="zh-CN"/>
        </w:rPr>
        <w:t xml:space="preserve"> 12、承担区安全生产委员会办公室工作职能；</w:t>
      </w:r>
      <w:r>
        <w:rPr>
          <w:rFonts w:hint="eastAsia" w:ascii="宋体" w:hAnsi="宋体" w:eastAsia="宋体"/>
          <w:color w:val="2B2B2B"/>
          <w:sz w:val="32"/>
          <w:lang w:val="en-US" w:eastAsia="zh-CN"/>
        </w:rPr>
        <w:t xml:space="preserve"> </w:t>
      </w:r>
    </w:p>
    <w:p>
      <w:pPr>
        <w:spacing w:line="500" w:lineRule="exact"/>
        <w:ind w:firstLine="640"/>
        <w:rPr>
          <w:rFonts w:hint="eastAsia" w:ascii="仿宋_GB2312" w:hAnsi="仿宋_GB2312" w:eastAsia="仿宋_GB2312"/>
          <w:color w:val="auto"/>
          <w:sz w:val="32"/>
          <w:lang w:val="en-US" w:eastAsia="zh-CN"/>
        </w:rPr>
      </w:pPr>
      <w:r>
        <w:rPr>
          <w:rFonts w:hint="eastAsia" w:ascii="仿宋_GB2312" w:hAnsi="仿宋_GB2312" w:eastAsia="仿宋_GB2312"/>
          <w:color w:val="auto"/>
          <w:sz w:val="32"/>
          <w:lang w:val="en-US" w:eastAsia="zh-CN"/>
        </w:rPr>
        <w:t>13、承办区委、区政府交办的其他事项。</w:t>
      </w:r>
    </w:p>
    <w:p>
      <w:pPr>
        <w:spacing w:line="500" w:lineRule="exact"/>
        <w:ind w:firstLine="640"/>
        <w:rPr>
          <w:rFonts w:hint="default" w:ascii="仿宋_GB2312" w:hAnsi="仿宋_GB2312" w:eastAsia="仿宋_GB2312"/>
          <w:color w:val="auto"/>
          <w:sz w:val="32"/>
          <w:lang w:val="en-US" w:eastAsia="zh-CN"/>
        </w:rPr>
      </w:pPr>
    </w:p>
    <w:p>
      <w:pPr>
        <w:spacing w:line="500" w:lineRule="exact"/>
        <w:ind w:firstLine="640"/>
        <w:rPr>
          <w:rFonts w:hint="default" w:ascii="仿宋_GB2312" w:hAnsi="仿宋_GB2312" w:eastAsia="仿宋_GB2312"/>
          <w:color w:val="auto"/>
          <w:sz w:val="32"/>
          <w:lang w:val="en-US" w:eastAsia="zh-CN"/>
        </w:rPr>
      </w:pPr>
    </w:p>
    <w:p>
      <w:pPr>
        <w:numPr>
          <w:ilvl w:val="0"/>
          <w:numId w:val="3"/>
        </w:numPr>
        <w:spacing w:line="360" w:lineRule="auto"/>
        <w:ind w:firstLine="640" w:firstLineChars="200"/>
        <w:jc w:val="left"/>
        <w:outlineLvl w:val="1"/>
        <w:rPr>
          <w:rFonts w:ascii="黑体" w:hAnsi="黑体" w:eastAsia="黑体" w:cs="Times New Roman"/>
          <w:sz w:val="32"/>
          <w:szCs w:val="32"/>
        </w:rPr>
      </w:pPr>
      <w:r>
        <w:rPr>
          <w:rFonts w:hint="eastAsia" w:ascii="黑体" w:hAnsi="黑体" w:eastAsia="黑体" w:cs="黑体"/>
          <w:sz w:val="32"/>
          <w:szCs w:val="32"/>
        </w:rPr>
        <w:t>部门决算单位构成</w:t>
      </w:r>
    </w:p>
    <w:p>
      <w:pPr>
        <w:pStyle w:val="2"/>
        <w:kinsoku w:val="0"/>
        <w:overflowPunct w:val="0"/>
        <w:rPr>
          <w:rFonts w:hint="eastAsia"/>
          <w:sz w:val="32"/>
        </w:rPr>
        <w:sectPr>
          <w:headerReference r:id="rId5" w:type="default"/>
          <w:footerReference r:id="rId6" w:type="default"/>
          <w:pgSz w:w="11906" w:h="16840"/>
          <w:pgMar w:top="1582" w:right="1508" w:bottom="1162" w:left="1508" w:header="0" w:footer="975" w:gutter="0"/>
          <w:pgBorders>
            <w:top w:val="none" w:sz="0" w:space="0"/>
            <w:left w:val="none" w:sz="0" w:space="0"/>
            <w:bottom w:val="none" w:sz="0" w:space="0"/>
            <w:right w:val="none" w:sz="0" w:space="0"/>
          </w:pgBorders>
          <w:lnNumType w:countBy="0" w:distance="360"/>
          <w:pgNumType w:fmt="numberInDash"/>
          <w:cols w:space="720" w:num="1"/>
        </w:sectPr>
      </w:pPr>
      <w:r>
        <w:rPr>
          <w:rFonts w:hint="eastAsia" w:ascii="仿宋" w:hAnsi="仿宋" w:eastAsia="仿宋"/>
          <w:color w:val="000000"/>
          <w:sz w:val="32"/>
        </w:rPr>
        <w:t>从预算单位构成看，</w:t>
      </w:r>
      <w:r>
        <w:rPr>
          <w:rFonts w:hint="eastAsia" w:ascii="仿宋" w:hAnsi="仿宋" w:eastAsia="仿宋"/>
          <w:color w:val="000000"/>
          <w:sz w:val="32"/>
          <w:lang w:eastAsia="zh-CN"/>
        </w:rPr>
        <w:t>中站</w:t>
      </w:r>
      <w:r>
        <w:rPr>
          <w:rFonts w:hint="eastAsia" w:ascii="仿宋" w:hAnsi="仿宋" w:eastAsia="仿宋"/>
          <w:color w:val="000000"/>
          <w:sz w:val="32"/>
        </w:rPr>
        <w:t>区安全生产监督管理局部门决算为本级决算。</w:t>
      </w: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pPr>
      <w:r>
        <w:rPr>
          <w:rFonts w:hint="eastAsia" w:ascii="隶书" w:hAnsi="隶书" w:eastAsia="隶书" w:cs="隶书"/>
          <w:sz w:val="48"/>
          <w:szCs w:val="48"/>
        </w:rPr>
        <w:t>第二部分</w:t>
      </w:r>
    </w:p>
    <w:p>
      <w:pPr>
        <w:jc w:val="center"/>
        <w:rPr>
          <w:rFonts w:ascii="隶书" w:hAnsi="隶书" w:eastAsia="隶书" w:cs="Times New Roman"/>
          <w:sz w:val="48"/>
          <w:szCs w:val="48"/>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r>
        <w:rPr>
          <w:rFonts w:hint="eastAsia" w:ascii="隶书" w:hAnsi="隶书" w:eastAsia="隶书" w:cs="隶书"/>
          <w:sz w:val="48"/>
          <w:szCs w:val="48"/>
          <w:lang w:eastAsia="zh-CN"/>
        </w:rPr>
        <w:t>区安监局</w:t>
      </w:r>
      <w:r>
        <w:rPr>
          <w:rFonts w:ascii="隶书" w:hAnsi="隶书" w:eastAsia="隶书" w:cs="隶书"/>
          <w:sz w:val="48"/>
          <w:szCs w:val="48"/>
        </w:rPr>
        <w:t>2016</w:t>
      </w:r>
      <w:r>
        <w:rPr>
          <w:rFonts w:hint="eastAsia" w:ascii="隶书" w:hAnsi="隶书" w:eastAsia="隶书" w:cs="隶书"/>
          <w:sz w:val="48"/>
          <w:szCs w:val="48"/>
        </w:rPr>
        <w:t>年度部门决算表</w:t>
      </w:r>
    </w:p>
    <w:tbl>
      <w:tblPr>
        <w:tblStyle w:val="6"/>
        <w:tblW w:w="9198" w:type="dxa"/>
        <w:tblInd w:w="-13" w:type="dxa"/>
        <w:tblLayout w:type="fixed"/>
        <w:tblCellMar>
          <w:top w:w="15" w:type="dxa"/>
          <w:left w:w="15" w:type="dxa"/>
          <w:bottom w:w="15" w:type="dxa"/>
          <w:right w:w="15" w:type="dxa"/>
        </w:tblCellMar>
      </w:tblPr>
      <w:tblGrid>
        <w:gridCol w:w="1995"/>
        <w:gridCol w:w="645"/>
        <w:gridCol w:w="642"/>
        <w:gridCol w:w="472"/>
        <w:gridCol w:w="240"/>
        <w:gridCol w:w="3401"/>
        <w:gridCol w:w="495"/>
        <w:gridCol w:w="324"/>
        <w:gridCol w:w="984"/>
      </w:tblGrid>
      <w:tr>
        <w:tblPrEx>
          <w:tblLayout w:type="fixed"/>
          <w:tblCellMar>
            <w:top w:w="15" w:type="dxa"/>
            <w:left w:w="15" w:type="dxa"/>
            <w:bottom w:w="15" w:type="dxa"/>
            <w:right w:w="15" w:type="dxa"/>
          </w:tblCellMar>
        </w:tblPrEx>
        <w:trPr>
          <w:trHeight w:val="375" w:hRule="atLeast"/>
        </w:trPr>
        <w:tc>
          <w:tcPr>
            <w:tcW w:w="9198" w:type="dxa"/>
            <w:gridSpan w:val="9"/>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收入支出决算总表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widowControl/>
              <w:jc w:val="left"/>
              <w:textAlignment w:val="center"/>
              <w:rPr>
                <w:rFonts w:ascii="宋体" w:cs="Times New Roman"/>
                <w:color w:val="000000"/>
                <w:sz w:val="16"/>
                <w:szCs w:val="16"/>
              </w:rPr>
            </w:pPr>
            <w:r>
              <w:rPr>
                <w:rFonts w:ascii="宋体" w:cs="宋体"/>
                <w:color w:val="000000"/>
                <w:kern w:val="0"/>
                <w:sz w:val="16"/>
                <w:szCs w:val="16"/>
              </w:rPr>
              <w:t>.</w:t>
            </w:r>
          </w:p>
        </w:tc>
        <w:tc>
          <w:tcPr>
            <w:tcW w:w="472" w:type="dxa"/>
            <w:vAlign w:val="center"/>
          </w:tcPr>
          <w:p>
            <w:pPr>
              <w:rPr>
                <w:rFonts w:ascii="宋体" w:cs="Times New Roman"/>
                <w:color w:val="000000"/>
                <w:sz w:val="16"/>
                <w:szCs w:val="16"/>
              </w:rPr>
            </w:pPr>
          </w:p>
        </w:tc>
        <w:tc>
          <w:tcPr>
            <w:tcW w:w="240" w:type="dxa"/>
            <w:vAlign w:val="center"/>
          </w:tcPr>
          <w:p>
            <w:pPr>
              <w:rPr>
                <w:rFonts w:ascii="宋体" w:cs="Times New Roman"/>
                <w:color w:val="000000"/>
                <w:sz w:val="16"/>
                <w:szCs w:val="16"/>
              </w:rPr>
            </w:pPr>
          </w:p>
        </w:tc>
        <w:tc>
          <w:tcPr>
            <w:tcW w:w="4220" w:type="dxa"/>
            <w:gridSpan w:val="3"/>
            <w:vAlign w:val="center"/>
          </w:tcPr>
          <w:p>
            <w:pPr>
              <w:rPr>
                <w:rFonts w:ascii="宋体" w:cs="Times New Roman"/>
                <w:color w:val="000000"/>
                <w:sz w:val="16"/>
                <w:szCs w:val="16"/>
              </w:rPr>
            </w:pPr>
          </w:p>
        </w:tc>
        <w:tc>
          <w:tcPr>
            <w:tcW w:w="984"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rPr>
                <w:rFonts w:ascii="宋体" w:cs="Times New Roman"/>
                <w:color w:val="000000"/>
                <w:sz w:val="16"/>
                <w:szCs w:val="16"/>
              </w:rPr>
            </w:pPr>
          </w:p>
        </w:tc>
        <w:tc>
          <w:tcPr>
            <w:tcW w:w="472" w:type="dxa"/>
            <w:vAlign w:val="center"/>
          </w:tcPr>
          <w:p>
            <w:pPr>
              <w:rPr>
                <w:rFonts w:ascii="宋体" w:cs="Times New Roman"/>
                <w:color w:val="000000"/>
                <w:sz w:val="16"/>
                <w:szCs w:val="16"/>
              </w:rPr>
            </w:pPr>
          </w:p>
        </w:tc>
        <w:tc>
          <w:tcPr>
            <w:tcW w:w="240" w:type="dxa"/>
            <w:vAlign w:val="center"/>
          </w:tcPr>
          <w:p>
            <w:pPr>
              <w:rPr>
                <w:rFonts w:ascii="宋体" w:cs="Times New Roman"/>
                <w:color w:val="000000"/>
                <w:sz w:val="16"/>
                <w:szCs w:val="16"/>
              </w:rPr>
            </w:pPr>
          </w:p>
        </w:tc>
        <w:tc>
          <w:tcPr>
            <w:tcW w:w="4220" w:type="dxa"/>
            <w:gridSpan w:val="3"/>
            <w:vAlign w:val="center"/>
          </w:tcPr>
          <w:p>
            <w:pPr>
              <w:rPr>
                <w:rFonts w:ascii="宋体" w:cs="Times New Roman"/>
                <w:color w:val="000000"/>
                <w:sz w:val="16"/>
                <w:szCs w:val="16"/>
              </w:rPr>
            </w:pPr>
          </w:p>
        </w:tc>
        <w:tc>
          <w:tcPr>
            <w:tcW w:w="984"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994"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5204" w:type="dxa"/>
            <w:gridSpan w:val="4"/>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6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9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一、财政拨款收入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2292701.76</w:t>
            </w: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一、一般公共服务支出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30</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二、上级补助收入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二、外交支出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31</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三、事业收入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三、国防支出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32</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四、经营收入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四、公共安全支出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33</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五、附属单位上缴收入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五、教育支出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34</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六、其他收入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六、科学技术支出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35</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7</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七、文化体育与传媒支出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36</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八、社会保障和就业支出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37</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365382.36</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九、医疗卫生与计划生育支出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38</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13397.3</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十、节能环保支出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39</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十一、城乡社区支出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40</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十二、农林水支出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41</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13</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十三、交通运输支出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42</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14</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十四、资源勘探信息等支出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43</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1862340.1</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15</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十五、商业服务业等支出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44</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16</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十六、金融支出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45</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17</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十七、援助其他地区支出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46</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18</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十八、国土海洋气象等支出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47</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19</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十九、住房保障支出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48</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51582</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20</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二十、粮油物资储备支出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49</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21</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二十一、其他支出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50</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22</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二十二、债务还本支出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51</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23</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二十三、债务付息支出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52</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24</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53</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25</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b/>
                <w:bCs/>
                <w:color w:val="000000"/>
                <w:sz w:val="16"/>
                <w:szCs w:val="16"/>
                <w:lang w:val="en-US" w:eastAsia="zh-CN"/>
              </w:rPr>
            </w:pPr>
            <w:r>
              <w:rPr>
                <w:rFonts w:hint="eastAsia" w:ascii="宋体" w:cs="Times New Roman"/>
                <w:b/>
                <w:bCs/>
                <w:color w:val="000000"/>
                <w:sz w:val="16"/>
                <w:szCs w:val="16"/>
                <w:lang w:val="en-US" w:eastAsia="zh-CN"/>
              </w:rPr>
              <w:t>2292701.76</w:t>
            </w: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54</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hint="eastAsia" w:ascii="宋体" w:eastAsia="宋体" w:cs="Times New Roman"/>
                <w:b/>
                <w:bCs/>
                <w:color w:val="000000"/>
                <w:sz w:val="16"/>
                <w:szCs w:val="16"/>
                <w:lang w:val="en-US" w:eastAsia="zh-CN"/>
              </w:rPr>
            </w:pPr>
            <w:r>
              <w:rPr>
                <w:rFonts w:hint="eastAsia" w:ascii="宋体" w:cs="Times New Roman"/>
                <w:b/>
                <w:bCs/>
                <w:color w:val="000000"/>
                <w:sz w:val="16"/>
                <w:szCs w:val="16"/>
                <w:lang w:val="en-US" w:eastAsia="zh-CN"/>
              </w:rPr>
              <w:t>2292701.76</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用事业基金弥补收支差额</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26</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结余分配</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55</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年初结转和结余</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27</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年末结转和结余</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56</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28</w:t>
            </w:r>
          </w:p>
        </w:tc>
        <w:tc>
          <w:tcPr>
            <w:tcW w:w="1354"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3401" w:type="dxa"/>
            <w:tcBorders>
              <w:top w:val="single" w:color="000000" w:sz="4" w:space="0"/>
              <w:left w:val="single" w:color="000000" w:sz="4" w:space="0"/>
              <w:bottom w:val="single" w:color="000000" w:sz="4" w:space="0"/>
              <w:right w:val="single" w:color="000000" w:sz="4" w:space="0"/>
            </w:tcBorders>
            <w:vAlign w:val="center"/>
          </w:tcPr>
          <w:p>
            <w:pPr>
              <w:rPr>
                <w:rFonts w:ascii="宋体" w:cs="Times New Roman"/>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57</w:t>
            </w:r>
          </w:p>
        </w:tc>
        <w:tc>
          <w:tcPr>
            <w:tcW w:w="1308" w:type="dxa"/>
            <w:gridSpan w:val="2"/>
            <w:tcBorders>
              <w:top w:val="single" w:color="000000" w:sz="4" w:space="0"/>
              <w:left w:val="single" w:color="000000" w:sz="4" w:space="0"/>
              <w:bottom w:val="single" w:color="000000" w:sz="4" w:space="0"/>
              <w:right w:val="single" w:color="000000" w:sz="12" w:space="0"/>
            </w:tcBorders>
            <w:vAlign w:val="center"/>
          </w:tcPr>
          <w:p>
            <w:pP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64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29</w:t>
            </w:r>
          </w:p>
        </w:tc>
        <w:tc>
          <w:tcPr>
            <w:tcW w:w="1354"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hint="eastAsia" w:ascii="宋体" w:eastAsia="宋体" w:cs="Times New Roman"/>
                <w:b/>
                <w:bCs/>
                <w:color w:val="000000"/>
                <w:sz w:val="16"/>
                <w:szCs w:val="16"/>
                <w:lang w:val="en-US" w:eastAsia="zh-CN"/>
              </w:rPr>
            </w:pPr>
            <w:r>
              <w:rPr>
                <w:rFonts w:hint="eastAsia" w:ascii="宋体" w:cs="Times New Roman"/>
                <w:b/>
                <w:bCs/>
                <w:color w:val="000000"/>
                <w:sz w:val="16"/>
                <w:szCs w:val="16"/>
                <w:lang w:val="en-US" w:eastAsia="zh-CN"/>
              </w:rPr>
              <w:t>2292701.76</w:t>
            </w:r>
          </w:p>
        </w:tc>
        <w:tc>
          <w:tcPr>
            <w:tcW w:w="3401"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9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58</w:t>
            </w:r>
          </w:p>
        </w:tc>
        <w:tc>
          <w:tcPr>
            <w:tcW w:w="1308"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hint="eastAsia" w:ascii="宋体" w:eastAsia="宋体" w:cs="Times New Roman"/>
                <w:b/>
                <w:bCs/>
                <w:color w:val="000000"/>
                <w:sz w:val="16"/>
                <w:szCs w:val="16"/>
                <w:lang w:val="en-US" w:eastAsia="zh-CN"/>
              </w:rPr>
            </w:pPr>
            <w:r>
              <w:rPr>
                <w:rFonts w:hint="eastAsia" w:ascii="宋体" w:cs="Times New Roman"/>
                <w:b/>
                <w:bCs/>
                <w:color w:val="000000"/>
                <w:sz w:val="16"/>
                <w:szCs w:val="16"/>
                <w:lang w:val="en-US" w:eastAsia="zh-CN"/>
              </w:rPr>
              <w:t>2292701.76</w:t>
            </w:r>
          </w:p>
        </w:tc>
      </w:tr>
      <w:tr>
        <w:tblPrEx>
          <w:tblLayout w:type="fixed"/>
          <w:tblCellMar>
            <w:top w:w="15" w:type="dxa"/>
            <w:left w:w="15" w:type="dxa"/>
            <w:bottom w:w="15" w:type="dxa"/>
            <w:right w:w="15" w:type="dxa"/>
          </w:tblCellMar>
        </w:tblPrEx>
        <w:trPr>
          <w:trHeight w:val="555" w:hRule="atLeast"/>
        </w:trPr>
        <w:tc>
          <w:tcPr>
            <w:tcW w:w="9198" w:type="dxa"/>
            <w:gridSpan w:val="9"/>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注：本表反映部门本年度的总收支和年末结转结余情况。</w:t>
            </w:r>
          </w:p>
        </w:tc>
      </w:tr>
    </w:tbl>
    <w:p>
      <w:pPr>
        <w:spacing w:line="360" w:lineRule="auto"/>
        <w:rPr>
          <w:rFonts w:ascii="隶书" w:hAnsi="隶书" w:eastAsia="隶书" w:cs="Times New Roman"/>
          <w:sz w:val="52"/>
          <w:szCs w:val="52"/>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tbl>
      <w:tblPr>
        <w:tblStyle w:val="6"/>
        <w:tblW w:w="9405" w:type="dxa"/>
        <w:tblInd w:w="-13" w:type="dxa"/>
        <w:tblLayout w:type="fixed"/>
        <w:tblCellMar>
          <w:top w:w="15" w:type="dxa"/>
          <w:left w:w="15" w:type="dxa"/>
          <w:bottom w:w="15" w:type="dxa"/>
          <w:right w:w="15" w:type="dxa"/>
        </w:tblCellMar>
      </w:tblPr>
      <w:tblGrid>
        <w:gridCol w:w="675"/>
        <w:gridCol w:w="962"/>
        <w:gridCol w:w="763"/>
        <w:gridCol w:w="1200"/>
        <w:gridCol w:w="977"/>
        <w:gridCol w:w="103"/>
        <w:gridCol w:w="857"/>
        <w:gridCol w:w="283"/>
        <w:gridCol w:w="677"/>
        <w:gridCol w:w="178"/>
        <w:gridCol w:w="782"/>
        <w:gridCol w:w="960"/>
        <w:gridCol w:w="163"/>
        <w:gridCol w:w="825"/>
      </w:tblGrid>
      <w:tr>
        <w:tblPrEx>
          <w:tblLayout w:type="fixed"/>
          <w:tblCellMar>
            <w:top w:w="15" w:type="dxa"/>
            <w:left w:w="15" w:type="dxa"/>
            <w:bottom w:w="15" w:type="dxa"/>
            <w:right w:w="15" w:type="dxa"/>
          </w:tblCellMar>
        </w:tblPrEx>
        <w:trPr>
          <w:trHeight w:val="375" w:hRule="atLeast"/>
        </w:trPr>
        <w:tc>
          <w:tcPr>
            <w:tcW w:w="9405" w:type="dxa"/>
            <w:gridSpan w:val="14"/>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trHeight w:val="285" w:hRule="atLeast"/>
        </w:trPr>
        <w:tc>
          <w:tcPr>
            <w:tcW w:w="1637" w:type="dxa"/>
            <w:gridSpan w:val="2"/>
            <w:vAlign w:val="center"/>
          </w:tcPr>
          <w:p>
            <w:pPr>
              <w:rPr>
                <w:rFonts w:ascii="宋体" w:cs="Times New Roman"/>
                <w:color w:val="000000"/>
                <w:sz w:val="16"/>
                <w:szCs w:val="16"/>
              </w:rPr>
            </w:pPr>
          </w:p>
        </w:tc>
        <w:tc>
          <w:tcPr>
            <w:tcW w:w="763" w:type="dxa"/>
            <w:vAlign w:val="center"/>
          </w:tcPr>
          <w:p>
            <w:pPr>
              <w:rPr>
                <w:rFonts w:ascii="宋体" w:cs="Times New Roman"/>
                <w:color w:val="000000"/>
                <w:sz w:val="16"/>
                <w:szCs w:val="16"/>
              </w:rPr>
            </w:pPr>
          </w:p>
        </w:tc>
        <w:tc>
          <w:tcPr>
            <w:tcW w:w="2177"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vAlign w:val="center"/>
          </w:tcPr>
          <w:p>
            <w:pPr>
              <w:rPr>
                <w:rFonts w:ascii="宋体" w:cs="Times New Roman"/>
                <w:color w:val="000000"/>
                <w:sz w:val="16"/>
                <w:szCs w:val="16"/>
              </w:rPr>
            </w:pPr>
          </w:p>
        </w:tc>
        <w:tc>
          <w:tcPr>
            <w:tcW w:w="988"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37" w:type="dxa"/>
            <w:gridSpan w:val="2"/>
            <w:tcBorders>
              <w:bottom w:val="single" w:color="000000" w:sz="12" w:space="0"/>
            </w:tcBorders>
            <w:vAlign w:val="center"/>
          </w:tcPr>
          <w:p>
            <w:pPr>
              <w:rPr>
                <w:rFonts w:ascii="宋体" w:cs="Times New Roman"/>
                <w:color w:val="000000"/>
                <w:sz w:val="16"/>
                <w:szCs w:val="16"/>
              </w:rPr>
            </w:pPr>
          </w:p>
        </w:tc>
        <w:tc>
          <w:tcPr>
            <w:tcW w:w="763" w:type="dxa"/>
            <w:tcBorders>
              <w:bottom w:val="single" w:color="000000" w:sz="12" w:space="0"/>
            </w:tcBorders>
            <w:vAlign w:val="center"/>
          </w:tcPr>
          <w:p>
            <w:pPr>
              <w:rPr>
                <w:rFonts w:ascii="宋体" w:cs="Times New Roman"/>
                <w:color w:val="000000"/>
                <w:sz w:val="16"/>
                <w:szCs w:val="16"/>
              </w:rPr>
            </w:pPr>
          </w:p>
        </w:tc>
        <w:tc>
          <w:tcPr>
            <w:tcW w:w="2177" w:type="dxa"/>
            <w:gridSpan w:val="2"/>
            <w:tcBorders>
              <w:bottom w:val="single" w:color="000000" w:sz="12" w:space="0"/>
            </w:tcBorders>
            <w:vAlign w:val="center"/>
          </w:tcPr>
          <w:p>
            <w:pPr>
              <w:rPr>
                <w:rFonts w:ascii="宋体" w:cs="Times New Roman"/>
                <w:color w:val="000000"/>
                <w:sz w:val="16"/>
                <w:szCs w:val="16"/>
              </w:rPr>
            </w:pPr>
          </w:p>
        </w:tc>
        <w:tc>
          <w:tcPr>
            <w:tcW w:w="960" w:type="dxa"/>
            <w:gridSpan w:val="2"/>
            <w:tcBorders>
              <w:bottom w:val="single" w:color="000000" w:sz="12" w:space="0"/>
            </w:tcBorders>
            <w:vAlign w:val="center"/>
          </w:tcPr>
          <w:p>
            <w:pPr>
              <w:rPr>
                <w:rFonts w:ascii="宋体" w:cs="Times New Roman"/>
                <w:color w:val="000000"/>
                <w:sz w:val="16"/>
                <w:szCs w:val="16"/>
              </w:rPr>
            </w:pPr>
          </w:p>
        </w:tc>
        <w:tc>
          <w:tcPr>
            <w:tcW w:w="960" w:type="dxa"/>
            <w:gridSpan w:val="2"/>
            <w:tcBorders>
              <w:bottom w:val="single" w:color="000000" w:sz="12" w:space="0"/>
            </w:tcBorders>
            <w:vAlign w:val="center"/>
          </w:tcPr>
          <w:p>
            <w:pPr>
              <w:rPr>
                <w:rFonts w:ascii="宋体" w:cs="Times New Roman"/>
                <w:color w:val="000000"/>
                <w:sz w:val="16"/>
                <w:szCs w:val="16"/>
              </w:rPr>
            </w:pPr>
          </w:p>
        </w:tc>
        <w:tc>
          <w:tcPr>
            <w:tcW w:w="960" w:type="dxa"/>
            <w:gridSpan w:val="2"/>
            <w:tcBorders>
              <w:bottom w:val="single" w:color="000000" w:sz="12" w:space="0"/>
            </w:tcBorders>
            <w:vAlign w:val="center"/>
          </w:tcPr>
          <w:p>
            <w:pPr>
              <w:rPr>
                <w:rFonts w:ascii="宋体" w:cs="Times New Roman"/>
                <w:color w:val="000000"/>
                <w:sz w:val="16"/>
                <w:szCs w:val="16"/>
              </w:rPr>
            </w:pPr>
          </w:p>
        </w:tc>
        <w:tc>
          <w:tcPr>
            <w:tcW w:w="960" w:type="dxa"/>
            <w:tcBorders>
              <w:bottom w:val="single" w:color="000000" w:sz="12" w:space="0"/>
            </w:tcBorders>
            <w:vAlign w:val="center"/>
          </w:tcPr>
          <w:p>
            <w:pPr>
              <w:rPr>
                <w:rFonts w:ascii="宋体" w:cs="Times New Roman"/>
                <w:color w:val="000000"/>
                <w:sz w:val="16"/>
                <w:szCs w:val="16"/>
              </w:rPr>
            </w:pPr>
          </w:p>
        </w:tc>
        <w:tc>
          <w:tcPr>
            <w:tcW w:w="988" w:type="dxa"/>
            <w:gridSpan w:val="2"/>
            <w:tcBorders>
              <w:bottom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240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目</w:t>
            </w:r>
          </w:p>
        </w:tc>
        <w:tc>
          <w:tcPr>
            <w:tcW w:w="120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108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财政拨款收入</w:t>
            </w:r>
          </w:p>
        </w:tc>
        <w:tc>
          <w:tcPr>
            <w:tcW w:w="114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上级补助收入</w:t>
            </w:r>
          </w:p>
        </w:tc>
        <w:tc>
          <w:tcPr>
            <w:tcW w:w="85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事业收入</w:t>
            </w:r>
          </w:p>
        </w:tc>
        <w:tc>
          <w:tcPr>
            <w:tcW w:w="782"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经营收入</w:t>
            </w:r>
          </w:p>
        </w:tc>
        <w:tc>
          <w:tcPr>
            <w:tcW w:w="1123"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上缴收入</w:t>
            </w:r>
          </w:p>
        </w:tc>
        <w:tc>
          <w:tcPr>
            <w:tcW w:w="82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其他收入</w:t>
            </w: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85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7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1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825"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285" w:hRule="atLeast"/>
        </w:trPr>
        <w:tc>
          <w:tcPr>
            <w:tcW w:w="240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7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c>
          <w:tcPr>
            <w:tcW w:w="82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r>
      <w:tr>
        <w:tblPrEx>
          <w:tblLayout w:type="fixed"/>
          <w:tblCellMar>
            <w:top w:w="15" w:type="dxa"/>
            <w:left w:w="15" w:type="dxa"/>
            <w:bottom w:w="15" w:type="dxa"/>
            <w:right w:w="15" w:type="dxa"/>
          </w:tblCellMar>
        </w:tblPrEx>
        <w:trPr>
          <w:trHeight w:val="285" w:hRule="atLeast"/>
        </w:trPr>
        <w:tc>
          <w:tcPr>
            <w:tcW w:w="240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2,292,701.76</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2,292,701.76</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208</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社会保障和就业支出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财政对社会保险基金的补助</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2080305</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财政对生育保险基金的补助</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957.00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957.00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行政事业单位离退休</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2080501</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归口管理的行政单位离退休</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364,425.36</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364,425.36</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医疗卫生与计划生育支出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21005</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医疗保障</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5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2100501</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行政单位医疗</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13,397.30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13,397.30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215</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资源勘探信息等支出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1,862,340.10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1,862,340.10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21506</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安全生产监管</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1,862,340.10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cs="Times New Roman"/>
                <w:color w:val="000000"/>
                <w:sz w:val="16"/>
                <w:szCs w:val="16"/>
                <w:lang w:val="en-US" w:eastAsia="zh-CN"/>
              </w:rPr>
            </w:pPr>
            <w:r>
              <w:rPr>
                <w:rFonts w:hint="eastAsia" w:ascii="宋体" w:hAnsi="宋体" w:eastAsia="宋体" w:cs="宋体"/>
                <w:i w:val="0"/>
                <w:color w:val="000000"/>
                <w:kern w:val="0"/>
                <w:sz w:val="16"/>
                <w:szCs w:val="16"/>
                <w:u w:val="none"/>
                <w:lang w:val="en-US" w:eastAsia="zh-CN" w:bidi="ar"/>
              </w:rPr>
              <w:t>1,862,340.10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2150601</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行政运行</w:t>
            </w:r>
          </w:p>
        </w:tc>
        <w:tc>
          <w:tcPr>
            <w:tcW w:w="120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447411.1</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447411.1</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2150603</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机关服务</w:t>
            </w:r>
          </w:p>
        </w:tc>
        <w:tc>
          <w:tcPr>
            <w:tcW w:w="120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334929</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cs="Times New Roman"/>
                <w:color w:val="000000"/>
                <w:sz w:val="16"/>
                <w:szCs w:val="16"/>
                <w:lang w:val="en-US" w:eastAsia="zh-CN"/>
              </w:rPr>
            </w:pPr>
            <w:r>
              <w:rPr>
                <w:rFonts w:hint="eastAsia" w:ascii="宋体" w:cs="Times New Roman"/>
                <w:color w:val="000000"/>
                <w:sz w:val="16"/>
                <w:szCs w:val="16"/>
                <w:lang w:val="en-US" w:eastAsia="zh-CN"/>
              </w:rPr>
              <w:t>334929</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2150606</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 xml:space="preserve">  应急救援支出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1000000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1000000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lang w:val="en-US" w:eastAsia="zh-CN"/>
              </w:rPr>
              <w:t>2150605</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 xml:space="preserve">  安全监管监察专项</w:t>
            </w:r>
          </w:p>
        </w:tc>
        <w:tc>
          <w:tcPr>
            <w:tcW w:w="12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16"/>
                <w:szCs w:val="16"/>
                <w:lang w:val="en-US" w:eastAsia="zh-CN"/>
              </w:rPr>
              <w:t>80000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hint="eastAsia" w:ascii="宋体" w:cs="Times New Roman"/>
                <w:color w:val="000000"/>
                <w:sz w:val="16"/>
                <w:szCs w:val="16"/>
                <w:lang w:val="en-US" w:eastAsia="zh-CN"/>
              </w:rPr>
              <w:t>80000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3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221</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住房保障支出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3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22102</w:t>
            </w:r>
          </w:p>
        </w:tc>
        <w:tc>
          <w:tcPr>
            <w:tcW w:w="172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住房改革支出</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435" w:hRule="atLeast"/>
        </w:trPr>
        <w:tc>
          <w:tcPr>
            <w:tcW w:w="675"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2210201</w:t>
            </w:r>
          </w:p>
        </w:tc>
        <w:tc>
          <w:tcPr>
            <w:tcW w:w="172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住房公积金</w:t>
            </w:r>
          </w:p>
        </w:tc>
        <w:tc>
          <w:tcPr>
            <w:tcW w:w="120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08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14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782"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123"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825" w:type="dxa"/>
            <w:tcBorders>
              <w:top w:val="single" w:color="000000" w:sz="4" w:space="0"/>
              <w:left w:val="single" w:color="000000" w:sz="4" w:space="0"/>
              <w:bottom w:val="single" w:color="000000" w:sz="12"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9405" w:type="dxa"/>
            <w:gridSpan w:val="14"/>
            <w:tcBorders>
              <w:top w:val="single" w:color="000000" w:sz="12"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Times New Roman"/>
          <w:sz w:val="52"/>
          <w:szCs w:val="52"/>
        </w:rPr>
        <w:sectPr>
          <w:pgSz w:w="11906" w:h="16838"/>
          <w:pgMar w:top="2098" w:right="1531" w:bottom="1984"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p>
    <w:tbl>
      <w:tblPr>
        <w:tblStyle w:val="6"/>
        <w:tblW w:w="9419" w:type="dxa"/>
        <w:tblInd w:w="-13" w:type="dxa"/>
        <w:tblLayout w:type="fixed"/>
        <w:tblCellMar>
          <w:top w:w="15" w:type="dxa"/>
          <w:left w:w="15" w:type="dxa"/>
          <w:bottom w:w="15" w:type="dxa"/>
          <w:right w:w="15" w:type="dxa"/>
        </w:tblCellMar>
      </w:tblPr>
      <w:tblGrid>
        <w:gridCol w:w="735"/>
        <w:gridCol w:w="747"/>
        <w:gridCol w:w="1638"/>
        <w:gridCol w:w="1042"/>
        <w:gridCol w:w="999"/>
        <w:gridCol w:w="999"/>
        <w:gridCol w:w="999"/>
        <w:gridCol w:w="175"/>
        <w:gridCol w:w="824"/>
        <w:gridCol w:w="166"/>
        <w:gridCol w:w="1095"/>
      </w:tblGrid>
      <w:tr>
        <w:tblPrEx>
          <w:tblLayout w:type="fixed"/>
          <w:tblCellMar>
            <w:top w:w="15" w:type="dxa"/>
            <w:left w:w="15" w:type="dxa"/>
            <w:bottom w:w="15" w:type="dxa"/>
            <w:right w:w="15" w:type="dxa"/>
          </w:tblCellMar>
        </w:tblPrEx>
        <w:trPr>
          <w:trHeight w:val="375" w:hRule="atLeast"/>
        </w:trPr>
        <w:tc>
          <w:tcPr>
            <w:tcW w:w="9419" w:type="dxa"/>
            <w:gridSpan w:val="11"/>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482" w:type="dxa"/>
            <w:gridSpan w:val="2"/>
            <w:vAlign w:val="center"/>
          </w:tcPr>
          <w:p>
            <w:pPr>
              <w:rPr>
                <w:rFonts w:ascii="宋体" w:cs="Times New Roman"/>
                <w:color w:val="000000"/>
                <w:sz w:val="16"/>
                <w:szCs w:val="16"/>
              </w:rPr>
            </w:pPr>
          </w:p>
        </w:tc>
        <w:tc>
          <w:tcPr>
            <w:tcW w:w="1638" w:type="dxa"/>
            <w:vAlign w:val="center"/>
          </w:tcPr>
          <w:p>
            <w:pPr>
              <w:rPr>
                <w:rFonts w:ascii="宋体" w:cs="Times New Roman"/>
                <w:color w:val="000000"/>
                <w:sz w:val="16"/>
                <w:szCs w:val="16"/>
              </w:rPr>
            </w:pPr>
          </w:p>
        </w:tc>
        <w:tc>
          <w:tcPr>
            <w:tcW w:w="1042" w:type="dxa"/>
            <w:vAlign w:val="center"/>
          </w:tcPr>
          <w:p>
            <w:pPr>
              <w:rPr>
                <w:rFonts w:ascii="宋体" w:cs="Times New Roman"/>
                <w:color w:val="000000"/>
                <w:sz w:val="16"/>
                <w:szCs w:val="16"/>
              </w:rPr>
            </w:pPr>
          </w:p>
        </w:tc>
        <w:tc>
          <w:tcPr>
            <w:tcW w:w="999" w:type="dxa"/>
            <w:vAlign w:val="center"/>
          </w:tcPr>
          <w:p>
            <w:pPr>
              <w:rPr>
                <w:rFonts w:ascii="宋体" w:cs="Times New Roman"/>
                <w:color w:val="000000"/>
                <w:sz w:val="16"/>
                <w:szCs w:val="16"/>
              </w:rPr>
            </w:pPr>
          </w:p>
        </w:tc>
        <w:tc>
          <w:tcPr>
            <w:tcW w:w="999" w:type="dxa"/>
            <w:vAlign w:val="center"/>
          </w:tcPr>
          <w:p>
            <w:pPr>
              <w:rPr>
                <w:rFonts w:ascii="宋体" w:cs="Times New Roman"/>
                <w:color w:val="000000"/>
                <w:sz w:val="16"/>
                <w:szCs w:val="16"/>
              </w:rPr>
            </w:pPr>
          </w:p>
        </w:tc>
        <w:tc>
          <w:tcPr>
            <w:tcW w:w="999"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1261"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482" w:type="dxa"/>
            <w:gridSpan w:val="2"/>
            <w:tcBorders>
              <w:bottom w:val="single" w:color="000000" w:sz="12" w:space="0"/>
            </w:tcBorders>
            <w:vAlign w:val="center"/>
          </w:tcPr>
          <w:p>
            <w:pPr>
              <w:rPr>
                <w:rFonts w:ascii="宋体" w:cs="Times New Roman"/>
                <w:color w:val="000000"/>
                <w:sz w:val="16"/>
                <w:szCs w:val="16"/>
              </w:rPr>
            </w:pPr>
          </w:p>
        </w:tc>
        <w:tc>
          <w:tcPr>
            <w:tcW w:w="1638" w:type="dxa"/>
            <w:tcBorders>
              <w:bottom w:val="single" w:color="000000" w:sz="12" w:space="0"/>
            </w:tcBorders>
            <w:vAlign w:val="center"/>
          </w:tcPr>
          <w:p>
            <w:pPr>
              <w:rPr>
                <w:rFonts w:ascii="宋体" w:cs="Times New Roman"/>
                <w:color w:val="000000"/>
                <w:sz w:val="16"/>
                <w:szCs w:val="16"/>
              </w:rPr>
            </w:pPr>
          </w:p>
        </w:tc>
        <w:tc>
          <w:tcPr>
            <w:tcW w:w="1042" w:type="dxa"/>
            <w:tcBorders>
              <w:bottom w:val="single" w:color="000000" w:sz="12" w:space="0"/>
            </w:tcBorders>
            <w:vAlign w:val="center"/>
          </w:tcPr>
          <w:p>
            <w:pPr>
              <w:rPr>
                <w:rFonts w:ascii="宋体" w:cs="Times New Roman"/>
                <w:color w:val="000000"/>
                <w:sz w:val="16"/>
                <w:szCs w:val="16"/>
              </w:rPr>
            </w:pPr>
          </w:p>
        </w:tc>
        <w:tc>
          <w:tcPr>
            <w:tcW w:w="999" w:type="dxa"/>
            <w:tcBorders>
              <w:bottom w:val="single" w:color="000000" w:sz="12" w:space="0"/>
            </w:tcBorders>
            <w:vAlign w:val="center"/>
          </w:tcPr>
          <w:p>
            <w:pPr>
              <w:rPr>
                <w:rFonts w:ascii="宋体" w:cs="Times New Roman"/>
                <w:color w:val="000000"/>
                <w:sz w:val="16"/>
                <w:szCs w:val="16"/>
              </w:rPr>
            </w:pPr>
          </w:p>
        </w:tc>
        <w:tc>
          <w:tcPr>
            <w:tcW w:w="999" w:type="dxa"/>
            <w:tcBorders>
              <w:bottom w:val="single" w:color="000000" w:sz="12" w:space="0"/>
            </w:tcBorders>
            <w:vAlign w:val="center"/>
          </w:tcPr>
          <w:p>
            <w:pPr>
              <w:rPr>
                <w:rFonts w:ascii="宋体" w:cs="Times New Roman"/>
                <w:color w:val="000000"/>
                <w:sz w:val="16"/>
                <w:szCs w:val="16"/>
              </w:rPr>
            </w:pPr>
          </w:p>
        </w:tc>
        <w:tc>
          <w:tcPr>
            <w:tcW w:w="999" w:type="dxa"/>
            <w:tcBorders>
              <w:bottom w:val="single" w:color="000000" w:sz="12" w:space="0"/>
            </w:tcBorders>
            <w:vAlign w:val="center"/>
          </w:tcPr>
          <w:p>
            <w:pPr>
              <w:rPr>
                <w:rFonts w:ascii="宋体" w:cs="Times New Roman"/>
                <w:color w:val="000000"/>
                <w:sz w:val="16"/>
                <w:szCs w:val="16"/>
              </w:rPr>
            </w:pPr>
          </w:p>
        </w:tc>
        <w:tc>
          <w:tcPr>
            <w:tcW w:w="999" w:type="dxa"/>
            <w:gridSpan w:val="2"/>
            <w:tcBorders>
              <w:bottom w:val="single" w:color="000000" w:sz="12" w:space="0"/>
            </w:tcBorders>
            <w:vAlign w:val="center"/>
          </w:tcPr>
          <w:p>
            <w:pPr>
              <w:rPr>
                <w:rFonts w:ascii="宋体" w:cs="Times New Roman"/>
                <w:color w:val="000000"/>
                <w:sz w:val="16"/>
                <w:szCs w:val="16"/>
              </w:rPr>
            </w:pPr>
          </w:p>
        </w:tc>
        <w:tc>
          <w:tcPr>
            <w:tcW w:w="1261" w:type="dxa"/>
            <w:gridSpan w:val="2"/>
            <w:tcBorders>
              <w:bottom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12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042"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999"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999"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117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上缴上级支出</w:t>
            </w:r>
          </w:p>
        </w:tc>
        <w:tc>
          <w:tcPr>
            <w:tcW w:w="99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经营支出</w:t>
            </w:r>
          </w:p>
        </w:tc>
        <w:tc>
          <w:tcPr>
            <w:tcW w:w="109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对附属单位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04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17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5"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12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04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12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2,292,701.76</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2,292,701.76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208</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社会保障和就业支出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财政对社会保险基金的补助</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财政对生育保险基金的补助</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行政事业单位离退休</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2080501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归口管理的行政单位离退休</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医疗卫生与计划生育支出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医疗保障</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2100501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行政单位医疗</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资源勘探信息等支出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安全生产监管</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2150601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 xml:space="preserve">  行政运行</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447,411.10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447,411.10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2150603</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 xml:space="preserve">  机关服务</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334,929.00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334,929.00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2150605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 xml:space="preserve">  安全监管监察专项</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80,000.00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kern w:val="0"/>
                <w:sz w:val="16"/>
                <w:szCs w:val="16"/>
              </w:rPr>
            </w:pPr>
            <w:r>
              <w:rPr>
                <w:rFonts w:hint="eastAsia" w:ascii="宋体" w:hAnsi="宋体" w:eastAsia="宋体" w:cs="宋体"/>
                <w:i w:val="0"/>
                <w:color w:val="000000"/>
                <w:kern w:val="0"/>
                <w:sz w:val="16"/>
                <w:szCs w:val="16"/>
                <w:u w:val="none"/>
                <w:lang w:val="en-US" w:eastAsia="zh-CN" w:bidi="ar"/>
              </w:rPr>
              <w:t>80,000.00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2150606</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应急救援支出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1,000,000.00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1,000,000.00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221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住房保障支出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22102</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住房改革支出</w:t>
            </w:r>
          </w:p>
        </w:tc>
        <w:tc>
          <w:tcPr>
            <w:tcW w:w="10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99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p>
        </w:tc>
        <w:tc>
          <w:tcPr>
            <w:tcW w:w="109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2210201</w:t>
            </w:r>
          </w:p>
        </w:tc>
        <w:tc>
          <w:tcPr>
            <w:tcW w:w="238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 xml:space="preserve">  住房公积金</w:t>
            </w:r>
          </w:p>
        </w:tc>
        <w:tc>
          <w:tcPr>
            <w:tcW w:w="1042"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51,582.00</w:t>
            </w:r>
          </w:p>
        </w:tc>
        <w:tc>
          <w:tcPr>
            <w:tcW w:w="999"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17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99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09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60" w:hRule="atLeast"/>
        </w:trPr>
        <w:tc>
          <w:tcPr>
            <w:tcW w:w="9419" w:type="dxa"/>
            <w:gridSpan w:val="11"/>
            <w:tcBorders>
              <w:top w:val="single" w:color="000000" w:sz="12"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注：本表反映部门本年度各项支出情况。</w:t>
            </w:r>
          </w:p>
        </w:tc>
      </w:tr>
    </w:tbl>
    <w:p>
      <w:pPr>
        <w:spacing w:line="360" w:lineRule="auto"/>
        <w:jc w:val="center"/>
        <w:rPr>
          <w:rFonts w:ascii="隶书" w:hAnsi="隶书" w:eastAsia="隶书" w:cs="Times New Roman"/>
          <w:sz w:val="52"/>
          <w:szCs w:val="52"/>
        </w:rPr>
        <w:sectPr>
          <w:pgSz w:w="11906" w:h="16838"/>
          <w:pgMar w:top="2098" w:right="1474" w:bottom="1984" w:left="1587" w:header="850" w:footer="992" w:gutter="0"/>
          <w:pgBorders>
            <w:top w:val="none" w:sz="0" w:space="0"/>
            <w:left w:val="none" w:sz="0" w:space="0"/>
            <w:bottom w:val="none" w:sz="0" w:space="0"/>
            <w:right w:val="none" w:sz="0" w:space="0"/>
          </w:pgBorders>
          <w:pgNumType w:fmt="numberInDash"/>
          <w:cols w:space="0" w:num="1"/>
          <w:docGrid w:type="lines" w:linePitch="318" w:charSpace="0"/>
        </w:sectPr>
      </w:pPr>
    </w:p>
    <w:tbl>
      <w:tblPr>
        <w:tblStyle w:val="6"/>
        <w:tblW w:w="9618" w:type="dxa"/>
        <w:tblInd w:w="-13" w:type="dxa"/>
        <w:tblLayout w:type="fixed"/>
        <w:tblCellMar>
          <w:top w:w="15" w:type="dxa"/>
          <w:left w:w="15" w:type="dxa"/>
          <w:bottom w:w="15" w:type="dxa"/>
          <w:right w:w="15" w:type="dxa"/>
        </w:tblCellMar>
      </w:tblPr>
      <w:tblGrid>
        <w:gridCol w:w="2145"/>
        <w:gridCol w:w="144"/>
        <w:gridCol w:w="315"/>
        <w:gridCol w:w="924"/>
        <w:gridCol w:w="1924"/>
        <w:gridCol w:w="316"/>
        <w:gridCol w:w="337"/>
        <w:gridCol w:w="420"/>
        <w:gridCol w:w="242"/>
        <w:gridCol w:w="786"/>
        <w:gridCol w:w="213"/>
        <w:gridCol w:w="837"/>
        <w:gridCol w:w="1015"/>
      </w:tblGrid>
      <w:tr>
        <w:tblPrEx>
          <w:tblLayout w:type="fixed"/>
          <w:tblCellMar>
            <w:top w:w="15" w:type="dxa"/>
            <w:left w:w="15" w:type="dxa"/>
            <w:bottom w:w="15" w:type="dxa"/>
            <w:right w:w="15" w:type="dxa"/>
          </w:tblCellMar>
        </w:tblPrEx>
        <w:trPr>
          <w:trHeight w:val="107" w:hRule="atLeast"/>
        </w:trPr>
        <w:tc>
          <w:tcPr>
            <w:tcW w:w="2289" w:type="dxa"/>
            <w:gridSpan w:val="2"/>
            <w:vAlign w:val="center"/>
          </w:tcPr>
          <w:p>
            <w:pPr>
              <w:rPr>
                <w:rFonts w:ascii="宋体" w:cs="Times New Roman"/>
                <w:color w:val="000000"/>
                <w:sz w:val="16"/>
                <w:szCs w:val="16"/>
              </w:rPr>
            </w:pPr>
          </w:p>
        </w:tc>
        <w:tc>
          <w:tcPr>
            <w:tcW w:w="315" w:type="dxa"/>
            <w:vAlign w:val="center"/>
          </w:tcPr>
          <w:p>
            <w:pPr>
              <w:rPr>
                <w:rFonts w:ascii="宋体" w:cs="Times New Roman"/>
                <w:color w:val="000000"/>
                <w:sz w:val="16"/>
                <w:szCs w:val="16"/>
              </w:rPr>
            </w:pPr>
          </w:p>
        </w:tc>
        <w:tc>
          <w:tcPr>
            <w:tcW w:w="924" w:type="dxa"/>
            <w:vAlign w:val="center"/>
          </w:tcPr>
          <w:p>
            <w:pPr>
              <w:rPr>
                <w:rFonts w:ascii="宋体" w:cs="Times New Roman"/>
                <w:color w:val="000000"/>
                <w:sz w:val="16"/>
                <w:szCs w:val="16"/>
              </w:rPr>
            </w:pPr>
          </w:p>
        </w:tc>
        <w:tc>
          <w:tcPr>
            <w:tcW w:w="1924" w:type="dxa"/>
            <w:vAlign w:val="center"/>
          </w:tcPr>
          <w:p>
            <w:pPr>
              <w:rPr>
                <w:rFonts w:ascii="宋体" w:cs="Times New Roman"/>
                <w:color w:val="000000"/>
                <w:sz w:val="16"/>
                <w:szCs w:val="16"/>
              </w:rPr>
            </w:pPr>
          </w:p>
        </w:tc>
        <w:tc>
          <w:tcPr>
            <w:tcW w:w="316" w:type="dxa"/>
            <w:vAlign w:val="center"/>
          </w:tcPr>
          <w:p>
            <w:pPr>
              <w:rPr>
                <w:rFonts w:ascii="宋体" w:cs="Times New Roman"/>
                <w:color w:val="000000"/>
                <w:sz w:val="16"/>
                <w:szCs w:val="16"/>
              </w:rPr>
            </w:pPr>
          </w:p>
        </w:tc>
        <w:tc>
          <w:tcPr>
            <w:tcW w:w="999" w:type="dxa"/>
            <w:gridSpan w:val="3"/>
            <w:vAlign w:val="center"/>
          </w:tcPr>
          <w:p>
            <w:pPr>
              <w:jc w:val="right"/>
              <w:rPr>
                <w:rFonts w:ascii="宋体" w:cs="Times New Roman"/>
                <w:color w:val="000000"/>
                <w:sz w:val="16"/>
                <w:szCs w:val="16"/>
              </w:rPr>
            </w:pPr>
          </w:p>
        </w:tc>
        <w:tc>
          <w:tcPr>
            <w:tcW w:w="999" w:type="dxa"/>
            <w:gridSpan w:val="2"/>
            <w:vAlign w:val="center"/>
          </w:tcPr>
          <w:p>
            <w:pPr>
              <w:jc w:val="right"/>
              <w:rPr>
                <w:rFonts w:ascii="宋体" w:cs="Times New Roman"/>
                <w:color w:val="000000"/>
                <w:sz w:val="16"/>
                <w:szCs w:val="16"/>
              </w:rPr>
            </w:pPr>
          </w:p>
        </w:tc>
        <w:tc>
          <w:tcPr>
            <w:tcW w:w="185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90" w:hRule="atLeast"/>
        </w:trPr>
        <w:tc>
          <w:tcPr>
            <w:tcW w:w="2289" w:type="dxa"/>
            <w:gridSpan w:val="2"/>
            <w:vAlign w:val="center"/>
          </w:tcPr>
          <w:p>
            <w:pPr>
              <w:rPr>
                <w:rFonts w:ascii="宋体" w:cs="Times New Roman"/>
                <w:color w:val="000000"/>
                <w:sz w:val="16"/>
                <w:szCs w:val="16"/>
              </w:rPr>
            </w:pPr>
          </w:p>
        </w:tc>
        <w:tc>
          <w:tcPr>
            <w:tcW w:w="315" w:type="dxa"/>
            <w:vAlign w:val="center"/>
          </w:tcPr>
          <w:p>
            <w:pPr>
              <w:rPr>
                <w:rFonts w:ascii="宋体" w:cs="Times New Roman"/>
                <w:color w:val="000000"/>
                <w:sz w:val="16"/>
                <w:szCs w:val="16"/>
              </w:rPr>
            </w:pPr>
          </w:p>
        </w:tc>
        <w:tc>
          <w:tcPr>
            <w:tcW w:w="924" w:type="dxa"/>
            <w:vAlign w:val="center"/>
          </w:tcPr>
          <w:p>
            <w:pPr>
              <w:rPr>
                <w:rFonts w:ascii="宋体" w:cs="Times New Roman"/>
                <w:color w:val="000000"/>
                <w:sz w:val="16"/>
                <w:szCs w:val="16"/>
              </w:rPr>
            </w:pPr>
          </w:p>
        </w:tc>
        <w:tc>
          <w:tcPr>
            <w:tcW w:w="1924" w:type="dxa"/>
            <w:vAlign w:val="center"/>
          </w:tcPr>
          <w:p>
            <w:pPr>
              <w:rPr>
                <w:rFonts w:ascii="宋体" w:cs="Times New Roman"/>
                <w:color w:val="000000"/>
                <w:sz w:val="16"/>
                <w:szCs w:val="16"/>
              </w:rPr>
            </w:pPr>
          </w:p>
        </w:tc>
        <w:tc>
          <w:tcPr>
            <w:tcW w:w="316" w:type="dxa"/>
            <w:vAlign w:val="center"/>
          </w:tcPr>
          <w:p>
            <w:pPr>
              <w:rPr>
                <w:rFonts w:ascii="宋体" w:cs="Times New Roman"/>
                <w:color w:val="000000"/>
                <w:sz w:val="16"/>
                <w:szCs w:val="16"/>
              </w:rPr>
            </w:pPr>
          </w:p>
        </w:tc>
        <w:tc>
          <w:tcPr>
            <w:tcW w:w="999" w:type="dxa"/>
            <w:gridSpan w:val="3"/>
            <w:vAlign w:val="center"/>
          </w:tcPr>
          <w:p>
            <w:pPr>
              <w:jc w:val="right"/>
              <w:rPr>
                <w:rFonts w:ascii="宋体" w:cs="Times New Roman"/>
                <w:color w:val="000000"/>
                <w:sz w:val="16"/>
                <w:szCs w:val="16"/>
              </w:rPr>
            </w:pPr>
          </w:p>
        </w:tc>
        <w:tc>
          <w:tcPr>
            <w:tcW w:w="999" w:type="dxa"/>
            <w:gridSpan w:val="2"/>
            <w:vAlign w:val="center"/>
          </w:tcPr>
          <w:p>
            <w:pPr>
              <w:jc w:val="right"/>
              <w:rPr>
                <w:rFonts w:ascii="宋体" w:cs="Times New Roman"/>
                <w:color w:val="000000"/>
                <w:sz w:val="16"/>
                <w:szCs w:val="16"/>
              </w:rPr>
            </w:pPr>
          </w:p>
        </w:tc>
        <w:tc>
          <w:tcPr>
            <w:tcW w:w="185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528"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6090"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一般公共预算财政拨款</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政府性基金预算财政拨款</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次</w:t>
            </w:r>
          </w:p>
        </w:tc>
        <w:tc>
          <w:tcPr>
            <w:tcW w:w="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一、一般公共预算财政拨款</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2292701.76</w:t>
            </w: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一、一般公共服务支出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31</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二、政府性基金预算财政拨款</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二、外交支出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32</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三、国防支出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33</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四、公共安全支出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34</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五、教育支出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35</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六、科学技术支出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36</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7</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七、文化体育与传媒支出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37</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八、社会保障和就业支出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38</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九、医疗卫生与计划生育支出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39</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十、节能环保支出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40</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十一、城乡社区支出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41</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十二、农林水支出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42</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13</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十三、交通运输支出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43</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14</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十四、资源勘探信息等支出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44</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十五、商业服务业等支出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45</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16</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十六、金融支出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46</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17</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十七、援助其他地区支出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47</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18</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十八、国土海洋气象等支出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48</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19</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十九、住房保障支出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49</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20</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二十、粮油物资储备支出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50</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21</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二十一、其他支出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51</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22</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二十二、债务还本支出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52</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23</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二十三、债务付息支出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53</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24</w:t>
            </w:r>
          </w:p>
        </w:tc>
        <w:tc>
          <w:tcPr>
            <w:tcW w:w="92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54</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1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16"/>
                <w:szCs w:val="16"/>
              </w:rPr>
              <w:t>2292701.76</w:t>
            </w:r>
            <w:r>
              <w:rPr>
                <w:rFonts w:ascii="宋体" w:hAnsi="宋体" w:cs="宋体"/>
                <w:b/>
                <w:bCs/>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55</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16"/>
                <w:szCs w:val="16"/>
              </w:rPr>
              <w:t>2292701.76</w:t>
            </w:r>
            <w:r>
              <w:rPr>
                <w:rFonts w:ascii="宋体" w:hAnsi="宋体" w:cs="宋体"/>
                <w:b/>
                <w:bCs/>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年初财政拨款结转和结余</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26</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年末财政拨款结转和结余</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56</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一般公共预算财政拨款</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27</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57</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1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政府性基金预算财政拨款</w:t>
            </w: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28</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58</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15"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29</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577"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59</w:t>
            </w:r>
          </w:p>
        </w:tc>
        <w:tc>
          <w:tcPr>
            <w:tcW w:w="102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1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90" w:hRule="atLeast"/>
        </w:trPr>
        <w:tc>
          <w:tcPr>
            <w:tcW w:w="2145"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59"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30</w:t>
            </w:r>
          </w:p>
        </w:tc>
        <w:tc>
          <w:tcPr>
            <w:tcW w:w="924"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16"/>
                <w:szCs w:val="16"/>
              </w:rPr>
              <w:t>2292701.76</w:t>
            </w:r>
            <w:r>
              <w:rPr>
                <w:rFonts w:ascii="宋体" w:hAnsi="宋体" w:cs="宋体"/>
                <w:b/>
                <w:bCs/>
                <w:color w:val="000000"/>
                <w:kern w:val="0"/>
                <w:sz w:val="16"/>
                <w:szCs w:val="16"/>
              </w:rPr>
              <w:t xml:space="preserve"> </w:t>
            </w:r>
          </w:p>
        </w:tc>
        <w:tc>
          <w:tcPr>
            <w:tcW w:w="2577"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20"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60</w:t>
            </w:r>
          </w:p>
        </w:tc>
        <w:tc>
          <w:tcPr>
            <w:tcW w:w="102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hint="eastAsia" w:ascii="宋体" w:hAnsi="宋体" w:cs="宋体"/>
                <w:b/>
                <w:bCs/>
                <w:color w:val="000000"/>
                <w:kern w:val="0"/>
                <w:sz w:val="16"/>
                <w:szCs w:val="16"/>
              </w:rPr>
              <w:t>2292701.76</w:t>
            </w:r>
            <w:r>
              <w:rPr>
                <w:rFonts w:ascii="宋体" w:hAnsi="宋体" w:cs="宋体"/>
                <w:b/>
                <w:bCs/>
                <w:color w:val="000000"/>
                <w:kern w:val="0"/>
                <w:sz w:val="16"/>
                <w:szCs w:val="16"/>
              </w:rPr>
              <w:t xml:space="preserve"> </w:t>
            </w:r>
          </w:p>
        </w:tc>
        <w:tc>
          <w:tcPr>
            <w:tcW w:w="105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1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PrEx>
        <w:trPr>
          <w:trHeight w:val="495" w:hRule="atLeast"/>
        </w:trPr>
        <w:tc>
          <w:tcPr>
            <w:tcW w:w="9618" w:type="dxa"/>
            <w:gridSpan w:val="13"/>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注：本表反映部门本年度一般公共预算财政拨款和政府性基金预算财政拨款的总收支和年末结转结余情况。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pPr>
      <w:r>
        <w:rPr>
          <w:rFonts w:ascii="隶书" w:hAnsi="隶书" w:eastAsia="隶书" w:cs="Times New Roman"/>
          <w:sz w:val="52"/>
          <w:szCs w:val="52"/>
        </w:rPr>
        <w:br w:type="page"/>
      </w:r>
    </w:p>
    <w:tbl>
      <w:tblPr>
        <w:tblStyle w:val="6"/>
        <w:tblW w:w="9198" w:type="dxa"/>
        <w:tblInd w:w="-13" w:type="dxa"/>
        <w:tblLayout w:type="fixed"/>
        <w:tblCellMar>
          <w:top w:w="15" w:type="dxa"/>
          <w:left w:w="15" w:type="dxa"/>
          <w:bottom w:w="15" w:type="dxa"/>
          <w:right w:w="15" w:type="dxa"/>
        </w:tblCellMar>
      </w:tblPr>
      <w:tblGrid>
        <w:gridCol w:w="1216"/>
        <w:gridCol w:w="675"/>
        <w:gridCol w:w="1800"/>
        <w:gridCol w:w="1637"/>
        <w:gridCol w:w="688"/>
        <w:gridCol w:w="1172"/>
        <w:gridCol w:w="403"/>
        <w:gridCol w:w="1607"/>
      </w:tblGrid>
      <w:tr>
        <w:tblPrEx>
          <w:tblLayout w:type="fixed"/>
          <w:tblCellMar>
            <w:top w:w="15" w:type="dxa"/>
            <w:left w:w="15" w:type="dxa"/>
            <w:bottom w:w="15" w:type="dxa"/>
            <w:right w:w="15" w:type="dxa"/>
          </w:tblCellMar>
        </w:tblPrEx>
        <w:trPr>
          <w:trHeight w:val="375" w:hRule="atLeast"/>
        </w:trPr>
        <w:tc>
          <w:tcPr>
            <w:tcW w:w="9198" w:type="dxa"/>
            <w:gridSpan w:val="8"/>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trHeight w:val="285" w:hRule="atLeast"/>
        </w:trPr>
        <w:tc>
          <w:tcPr>
            <w:tcW w:w="1891" w:type="dxa"/>
            <w:gridSpan w:val="2"/>
            <w:vAlign w:val="center"/>
          </w:tcPr>
          <w:p>
            <w:pPr>
              <w:rPr>
                <w:rFonts w:ascii="宋体" w:cs="Times New Roman"/>
                <w:color w:val="000000"/>
                <w:sz w:val="16"/>
                <w:szCs w:val="16"/>
              </w:rPr>
            </w:pPr>
          </w:p>
        </w:tc>
        <w:tc>
          <w:tcPr>
            <w:tcW w:w="1800" w:type="dxa"/>
            <w:vAlign w:val="center"/>
          </w:tcPr>
          <w:p>
            <w:pPr>
              <w:rPr>
                <w:rFonts w:ascii="宋体" w:cs="Times New Roman"/>
                <w:color w:val="000000"/>
                <w:sz w:val="16"/>
                <w:szCs w:val="16"/>
              </w:rPr>
            </w:pPr>
          </w:p>
        </w:tc>
        <w:tc>
          <w:tcPr>
            <w:tcW w:w="2325" w:type="dxa"/>
            <w:gridSpan w:val="2"/>
            <w:vAlign w:val="center"/>
          </w:tcPr>
          <w:p>
            <w:pPr>
              <w:rPr>
                <w:rFonts w:ascii="宋体" w:cs="Times New Roman"/>
                <w:color w:val="000000"/>
                <w:sz w:val="16"/>
                <w:szCs w:val="16"/>
              </w:rPr>
            </w:pPr>
          </w:p>
        </w:tc>
        <w:tc>
          <w:tcPr>
            <w:tcW w:w="1575" w:type="dxa"/>
            <w:gridSpan w:val="2"/>
            <w:vAlign w:val="center"/>
          </w:tcPr>
          <w:p>
            <w:pPr>
              <w:rPr>
                <w:rFonts w:ascii="宋体" w:cs="Times New Roman"/>
                <w:color w:val="000000"/>
                <w:sz w:val="16"/>
                <w:szCs w:val="16"/>
              </w:rPr>
            </w:pPr>
          </w:p>
        </w:tc>
        <w:tc>
          <w:tcPr>
            <w:tcW w:w="1607"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891" w:type="dxa"/>
            <w:gridSpan w:val="2"/>
            <w:tcBorders>
              <w:bottom w:val="single" w:color="000000" w:sz="12" w:space="0"/>
            </w:tcBorders>
            <w:vAlign w:val="center"/>
          </w:tcPr>
          <w:p>
            <w:pPr>
              <w:rPr>
                <w:rFonts w:ascii="宋体" w:cs="Times New Roman"/>
                <w:color w:val="000000"/>
                <w:sz w:val="16"/>
                <w:szCs w:val="16"/>
              </w:rPr>
            </w:pPr>
          </w:p>
        </w:tc>
        <w:tc>
          <w:tcPr>
            <w:tcW w:w="1800" w:type="dxa"/>
            <w:tcBorders>
              <w:bottom w:val="single" w:color="000000" w:sz="12" w:space="0"/>
            </w:tcBorders>
            <w:vAlign w:val="center"/>
          </w:tcPr>
          <w:p>
            <w:pPr>
              <w:rPr>
                <w:rFonts w:ascii="宋体" w:cs="Times New Roman"/>
                <w:color w:val="000000"/>
                <w:sz w:val="16"/>
                <w:szCs w:val="16"/>
              </w:rPr>
            </w:pPr>
          </w:p>
        </w:tc>
        <w:tc>
          <w:tcPr>
            <w:tcW w:w="2325" w:type="dxa"/>
            <w:gridSpan w:val="2"/>
            <w:tcBorders>
              <w:bottom w:val="single" w:color="000000" w:sz="12" w:space="0"/>
            </w:tcBorders>
            <w:vAlign w:val="center"/>
          </w:tcPr>
          <w:p>
            <w:pPr>
              <w:rPr>
                <w:rFonts w:ascii="宋体" w:cs="Times New Roman"/>
                <w:color w:val="000000"/>
                <w:sz w:val="16"/>
                <w:szCs w:val="16"/>
              </w:rPr>
            </w:pPr>
          </w:p>
        </w:tc>
        <w:tc>
          <w:tcPr>
            <w:tcW w:w="1575" w:type="dxa"/>
            <w:gridSpan w:val="2"/>
            <w:tcBorders>
              <w:bottom w:val="single" w:color="000000" w:sz="12" w:space="0"/>
            </w:tcBorders>
            <w:vAlign w:val="center"/>
          </w:tcPr>
          <w:p>
            <w:pPr>
              <w:rPr>
                <w:rFonts w:ascii="宋体" w:cs="Times New Roman"/>
                <w:color w:val="000000"/>
                <w:sz w:val="16"/>
                <w:szCs w:val="16"/>
              </w:rPr>
            </w:pPr>
          </w:p>
        </w:tc>
        <w:tc>
          <w:tcPr>
            <w:tcW w:w="1607" w:type="dxa"/>
            <w:tcBorders>
              <w:bottom w:val="single" w:color="000000" w:sz="12" w:space="0"/>
            </w:tcBorders>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691"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w:t>
            </w:r>
          </w:p>
        </w:tc>
        <w:tc>
          <w:tcPr>
            <w:tcW w:w="1637"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1860"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201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r>
      <w:tr>
        <w:tblPrEx>
          <w:tblLayout w:type="fixed"/>
          <w:tblCellMar>
            <w:top w:w="15" w:type="dxa"/>
            <w:left w:w="15" w:type="dxa"/>
            <w:bottom w:w="15" w:type="dxa"/>
            <w:right w:w="15" w:type="dxa"/>
          </w:tblCellMar>
        </w:tblPrEx>
        <w:trPr>
          <w:trHeight w:val="6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63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86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010" w:type="dxa"/>
            <w:gridSpan w:val="2"/>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69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6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r>
      <w:tr>
        <w:tblPrEx>
          <w:tblLayout w:type="fixed"/>
          <w:tblCellMar>
            <w:top w:w="15" w:type="dxa"/>
            <w:left w:w="15" w:type="dxa"/>
            <w:bottom w:w="15" w:type="dxa"/>
            <w:right w:w="15" w:type="dxa"/>
          </w:tblCellMar>
        </w:tblPrEx>
        <w:trPr>
          <w:trHeight w:val="300" w:hRule="atLeast"/>
        </w:trPr>
        <w:tc>
          <w:tcPr>
            <w:tcW w:w="369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637" w:type="dxa"/>
            <w:tcBorders>
              <w:top w:val="single" w:color="000000" w:sz="4" w:space="0"/>
              <w:left w:val="single" w:color="000000" w:sz="4" w:space="0"/>
              <w:bottom w:val="single" w:color="000000" w:sz="4" w:space="0"/>
              <w:right w:val="single" w:color="000000" w:sz="4" w:space="0"/>
            </w:tcBorders>
            <w:vAlign w:val="center"/>
          </w:tcPr>
          <w:p>
            <w:pPr>
              <w:widowControl/>
              <w:tabs>
                <w:tab w:val="center" w:pos="803"/>
                <w:tab w:val="right" w:pos="1807"/>
              </w:tabs>
              <w:jc w:val="left"/>
              <w:textAlignment w:val="center"/>
              <w:rPr>
                <w:rFonts w:ascii="宋体" w:cs="Times New Roman"/>
                <w:b/>
                <w:bCs/>
                <w:color w:val="000000"/>
                <w:sz w:val="16"/>
                <w:szCs w:val="16"/>
              </w:rPr>
            </w:pPr>
            <w:r>
              <w:rPr>
                <w:rFonts w:hint="eastAsia" w:ascii="宋体" w:hAnsi="宋体" w:cs="宋体"/>
                <w:b/>
                <w:bCs/>
                <w:color w:val="000000"/>
                <w:kern w:val="0"/>
                <w:sz w:val="16"/>
                <w:szCs w:val="16"/>
                <w:lang w:eastAsia="zh-CN"/>
              </w:rPr>
              <w:tab/>
            </w:r>
            <w:r>
              <w:rPr>
                <w:rFonts w:hint="eastAsia" w:ascii="宋体" w:hAnsi="宋体" w:cs="宋体"/>
                <w:b/>
                <w:bCs/>
                <w:color w:val="000000"/>
                <w:kern w:val="0"/>
                <w:sz w:val="16"/>
                <w:szCs w:val="16"/>
                <w:lang w:eastAsia="zh-CN"/>
              </w:rPr>
              <w:t>2292701.76</w:t>
            </w:r>
            <w:r>
              <w:rPr>
                <w:rFonts w:hint="eastAsia" w:ascii="宋体" w:hAnsi="宋体" w:cs="宋体"/>
                <w:b/>
                <w:bCs/>
                <w:color w:val="000000"/>
                <w:kern w:val="0"/>
                <w:sz w:val="16"/>
                <w:szCs w:val="16"/>
                <w:lang w:eastAsia="zh-CN"/>
              </w:rPr>
              <w:tab/>
            </w:r>
            <w:r>
              <w:rPr>
                <w:rFonts w:ascii="宋体" w:hAnsi="宋体" w:cs="宋体"/>
                <w:b/>
                <w:bCs/>
                <w:color w:val="000000"/>
                <w:kern w:val="0"/>
                <w:sz w:val="16"/>
                <w:szCs w:val="16"/>
              </w:rPr>
              <w:t xml:space="preserve"> </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center" w:pos="915"/>
                <w:tab w:val="right" w:pos="2030"/>
              </w:tabs>
              <w:jc w:val="left"/>
              <w:textAlignment w:val="center"/>
              <w:rPr>
                <w:rFonts w:ascii="宋体" w:cs="Times New Roman"/>
                <w:b/>
                <w:bCs/>
                <w:color w:val="000000"/>
                <w:sz w:val="16"/>
                <w:szCs w:val="16"/>
              </w:rPr>
            </w:pPr>
            <w:r>
              <w:rPr>
                <w:rFonts w:hint="eastAsia" w:ascii="宋体" w:hAnsi="宋体" w:cs="宋体"/>
                <w:b/>
                <w:bCs/>
                <w:color w:val="000000"/>
                <w:kern w:val="0"/>
                <w:sz w:val="16"/>
                <w:szCs w:val="16"/>
                <w:lang w:eastAsia="zh-CN"/>
              </w:rPr>
              <w:tab/>
            </w:r>
            <w:r>
              <w:rPr>
                <w:rFonts w:hint="eastAsia" w:ascii="宋体" w:hAnsi="宋体" w:cs="宋体"/>
                <w:b/>
                <w:bCs/>
                <w:color w:val="000000"/>
                <w:kern w:val="0"/>
                <w:sz w:val="16"/>
                <w:szCs w:val="16"/>
                <w:lang w:eastAsia="zh-CN"/>
              </w:rPr>
              <w:t>2292701.76</w:t>
            </w:r>
            <w:r>
              <w:rPr>
                <w:rFonts w:hint="eastAsia" w:ascii="宋体" w:hAnsi="宋体" w:cs="宋体"/>
                <w:b/>
                <w:bCs/>
                <w:color w:val="000000"/>
                <w:kern w:val="0"/>
                <w:sz w:val="16"/>
                <w:szCs w:val="16"/>
                <w:lang w:eastAsia="zh-CN"/>
              </w:rPr>
              <w:tab/>
            </w:r>
            <w:r>
              <w:rPr>
                <w:rFonts w:ascii="宋体" w:hAnsi="宋体" w:cs="宋体"/>
                <w:b/>
                <w:bCs/>
                <w:color w:val="000000"/>
                <w:kern w:val="0"/>
                <w:sz w:val="16"/>
                <w:szCs w:val="16"/>
              </w:rPr>
              <w:t xml:space="preserve"> </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208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社会保障和就业支出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365,382.36</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财政对社会保险基金的补助</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2080305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财政对生育保险基金的补助</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957.00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行政事业单位离退休</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2080501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归口管理的行政单位离退休</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医疗卫生与计划生育支出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医疗保障</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2100501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行政单位医疗</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13,397.30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资源勘探信息等支出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安全生产监管</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1,862,340.10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行政运行</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447,411.10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447,411.10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机关服务</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334,929.00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334,929.00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安全监管监察专项</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80,000.00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80,000.00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2150606</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应急救援支出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1,000,000.00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1,000,000.00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住房保障支出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22102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住房改革支出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201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216"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left"/>
              <w:textAlignment w:val="center"/>
              <w:rPr>
                <w:rFonts w:hint="eastAsia" w:ascii="宋体" w:hAnsi="宋体" w:cs="宋体"/>
                <w:color w:val="000000"/>
                <w:kern w:val="0"/>
                <w:sz w:val="16"/>
                <w:szCs w:val="16"/>
              </w:rPr>
            </w:pPr>
            <w:r>
              <w:rPr>
                <w:rFonts w:hint="eastAsia" w:ascii="宋体" w:hAnsi="宋体" w:eastAsia="宋体" w:cs="宋体"/>
                <w:i w:val="0"/>
                <w:color w:val="000000"/>
                <w:kern w:val="0"/>
                <w:sz w:val="16"/>
                <w:szCs w:val="16"/>
                <w:u w:val="none"/>
                <w:lang w:val="en-US" w:eastAsia="zh-CN" w:bidi="ar"/>
              </w:rPr>
              <w:t>2210201</w:t>
            </w:r>
          </w:p>
        </w:tc>
        <w:tc>
          <w:tcPr>
            <w:tcW w:w="2475"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lef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 xml:space="preserve">  住房公积金</w:t>
            </w:r>
          </w:p>
        </w:tc>
        <w:tc>
          <w:tcPr>
            <w:tcW w:w="1637"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186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2010"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600" w:hRule="atLeast"/>
        </w:trPr>
        <w:tc>
          <w:tcPr>
            <w:tcW w:w="9198" w:type="dxa"/>
            <w:gridSpan w:val="8"/>
            <w:tcBorders>
              <w:top w:val="single" w:color="000000" w:sz="12"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p>
    <w:tbl>
      <w:tblPr>
        <w:tblStyle w:val="6"/>
        <w:tblW w:w="9258" w:type="dxa"/>
        <w:tblInd w:w="-13" w:type="dxa"/>
        <w:tblLayout w:type="fixed"/>
        <w:tblCellMar>
          <w:top w:w="15" w:type="dxa"/>
          <w:left w:w="15" w:type="dxa"/>
          <w:bottom w:w="15" w:type="dxa"/>
          <w:right w:w="15" w:type="dxa"/>
        </w:tblCellMar>
      </w:tblPr>
      <w:tblGrid>
        <w:gridCol w:w="715"/>
        <w:gridCol w:w="935"/>
        <w:gridCol w:w="1794"/>
        <w:gridCol w:w="1620"/>
        <w:gridCol w:w="754"/>
        <w:gridCol w:w="117"/>
        <w:gridCol w:w="1677"/>
        <w:gridCol w:w="461"/>
        <w:gridCol w:w="1185"/>
      </w:tblGrid>
      <w:tr>
        <w:tblPrEx>
          <w:tblLayout w:type="fixed"/>
          <w:tblCellMar>
            <w:top w:w="15" w:type="dxa"/>
            <w:left w:w="15" w:type="dxa"/>
            <w:bottom w:w="15" w:type="dxa"/>
            <w:right w:w="15" w:type="dxa"/>
          </w:tblCellMar>
        </w:tblPrEx>
        <w:trPr>
          <w:trHeight w:val="375" w:hRule="atLeast"/>
        </w:trPr>
        <w:tc>
          <w:tcPr>
            <w:tcW w:w="9258" w:type="dxa"/>
            <w:gridSpan w:val="9"/>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trHeight w:val="285" w:hRule="atLeast"/>
        </w:trPr>
        <w:tc>
          <w:tcPr>
            <w:tcW w:w="1650" w:type="dxa"/>
            <w:gridSpan w:val="2"/>
            <w:vAlign w:val="center"/>
          </w:tcPr>
          <w:p>
            <w:pPr>
              <w:rPr>
                <w:rFonts w:ascii="宋体" w:cs="Times New Roman"/>
                <w:color w:val="000000"/>
                <w:sz w:val="16"/>
                <w:szCs w:val="16"/>
              </w:rPr>
            </w:pPr>
          </w:p>
        </w:tc>
        <w:tc>
          <w:tcPr>
            <w:tcW w:w="1794" w:type="dxa"/>
            <w:vAlign w:val="center"/>
          </w:tcPr>
          <w:p>
            <w:pPr>
              <w:rPr>
                <w:rFonts w:ascii="宋体" w:cs="Times New Roman"/>
                <w:color w:val="000000"/>
                <w:sz w:val="16"/>
                <w:szCs w:val="16"/>
              </w:rPr>
            </w:pP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1646"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50" w:type="dxa"/>
            <w:gridSpan w:val="2"/>
            <w:vAlign w:val="center"/>
          </w:tcPr>
          <w:p>
            <w:pPr>
              <w:rPr>
                <w:rFonts w:ascii="宋体" w:cs="Times New Roman"/>
                <w:color w:val="000000"/>
                <w:sz w:val="16"/>
                <w:szCs w:val="16"/>
              </w:rPr>
            </w:pPr>
          </w:p>
        </w:tc>
        <w:tc>
          <w:tcPr>
            <w:tcW w:w="1794" w:type="dxa"/>
            <w:vAlign w:val="center"/>
          </w:tcPr>
          <w:p>
            <w:pPr>
              <w:rPr>
                <w:rFonts w:ascii="宋体" w:cs="Times New Roman"/>
                <w:color w:val="000000"/>
                <w:sz w:val="16"/>
                <w:szCs w:val="16"/>
              </w:rPr>
            </w:pP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1646"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064"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人员经费</w:t>
            </w:r>
          </w:p>
        </w:tc>
        <w:tc>
          <w:tcPr>
            <w:tcW w:w="4194"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18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599,821.42</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302</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商品和服务支出</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106,130.80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111,323.00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15,000.00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471,865.42</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30202</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印刷费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41,507.00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30203</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咨询费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14,354.30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30204</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手续费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2,278.70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30205</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水费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1,529.50</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30206</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电费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10,473.60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30207</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邮电费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3,660.00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30208</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取暖费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物业管理费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422,608.96</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差旅费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30212</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因公出国</w:t>
            </w:r>
            <w:r>
              <w:rPr>
                <w:rFonts w:ascii="宋体" w:hAnsi="宋体" w:cs="宋体"/>
                <w:color w:val="000000"/>
                <w:kern w:val="0"/>
                <w:sz w:val="16"/>
                <w:szCs w:val="16"/>
              </w:rPr>
              <w:t>(</w:t>
            </w:r>
            <w:r>
              <w:rPr>
                <w:rFonts w:hint="eastAsia" w:ascii="宋体" w:hAnsi="宋体" w:cs="宋体"/>
                <w:color w:val="000000"/>
                <w:kern w:val="0"/>
                <w:sz w:val="16"/>
                <w:szCs w:val="16"/>
              </w:rPr>
              <w:t>境</w:t>
            </w:r>
            <w:r>
              <w:rPr>
                <w:rFonts w:ascii="宋体" w:hAnsi="宋体" w:cs="宋体"/>
                <w:color w:val="000000"/>
                <w:kern w:val="0"/>
                <w:sz w:val="16"/>
                <w:szCs w:val="16"/>
              </w:rPr>
              <w:t>)</w:t>
            </w:r>
            <w:r>
              <w:rPr>
                <w:rFonts w:hint="eastAsia" w:ascii="宋体" w:hAnsi="宋体" w:cs="宋体"/>
                <w:color w:val="000000"/>
                <w:kern w:val="0"/>
                <w:sz w:val="16"/>
                <w:szCs w:val="16"/>
              </w:rPr>
              <w:t>费用</w:t>
            </w:r>
            <w:r>
              <w:rPr>
                <w:rFonts w:ascii="宋体" w:hAnsi="宋体" w:cs="宋体"/>
                <w:color w:val="000000"/>
                <w:kern w:val="0"/>
                <w:sz w:val="16"/>
                <w:szCs w:val="16"/>
              </w:rPr>
              <w:t xml:space="preserve"> </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364,425.36</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30213</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维修</w:t>
            </w:r>
            <w:r>
              <w:rPr>
                <w:rFonts w:ascii="宋体" w:hAnsi="宋体" w:cs="宋体"/>
                <w:color w:val="000000"/>
                <w:kern w:val="0"/>
                <w:sz w:val="16"/>
                <w:szCs w:val="16"/>
              </w:rPr>
              <w:t>(</w:t>
            </w:r>
            <w:r>
              <w:rPr>
                <w:rFonts w:hint="eastAsia" w:ascii="宋体" w:hAnsi="宋体" w:cs="宋体"/>
                <w:color w:val="000000"/>
                <w:kern w:val="0"/>
                <w:sz w:val="16"/>
                <w:szCs w:val="16"/>
              </w:rPr>
              <w:t>护</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11,699.00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退职</w:t>
            </w:r>
            <w:r>
              <w:rPr>
                <w:rFonts w:ascii="宋体" w:hAnsi="宋体" w:cs="宋体"/>
                <w:color w:val="000000"/>
                <w:kern w:val="0"/>
                <w:sz w:val="16"/>
                <w:szCs w:val="16"/>
              </w:rPr>
              <w:t>(</w:t>
            </w:r>
            <w:r>
              <w:rPr>
                <w:rFonts w:hint="eastAsia" w:ascii="宋体" w:hAnsi="宋体" w:cs="宋体"/>
                <w:color w:val="000000"/>
                <w:kern w:val="0"/>
                <w:sz w:val="16"/>
                <w:szCs w:val="16"/>
              </w:rPr>
              <w:t>役</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30214</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租赁费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30215</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会议费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30216</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培训费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2,270.00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30217</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公务接待费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30218</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专用材料费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30224</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30225</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30226</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18,463.60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51,582.00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30227</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30228</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502.00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926.10</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6,601.60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30240</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30299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30224</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30225</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30226</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30227</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hint="eastAsia" w:ascii="宋体" w:eastAsia="宋体" w:cs="Times New Roman"/>
                <w:color w:val="000000"/>
                <w:sz w:val="16"/>
                <w:szCs w:val="16"/>
                <w:lang w:val="en-US" w:eastAsia="zh-CN"/>
              </w:rPr>
            </w:pPr>
            <w:r>
              <w:rPr>
                <w:rFonts w:hint="eastAsia" w:ascii="宋体" w:cs="Times New Roman"/>
                <w:color w:val="000000"/>
                <w:sz w:val="16"/>
                <w:szCs w:val="16"/>
                <w:lang w:val="en-US" w:eastAsia="zh-CN"/>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30228</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30240</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30299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b/>
                <w:bCs/>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b/>
                <w:bCs/>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310</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其他资本性支出</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1,164,140.58</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房屋建筑物购建</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31002</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办公设备购置</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7,199.00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31003</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专用设备购置</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156,941.58</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31005</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基础设施建设</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31006</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大型修缮</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31007</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31008</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物资储备</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土地补偿</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31010</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安置补助</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31011</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地上附着物和青苗补偿</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31012</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拆迁补偿</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31013</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公务用车购置</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31019</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其他交通工具购置</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31020</w:t>
            </w:r>
          </w:p>
        </w:tc>
        <w:tc>
          <w:tcPr>
            <w:tcW w:w="2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产权参股</w:t>
            </w:r>
          </w:p>
        </w:tc>
        <w:tc>
          <w:tcPr>
            <w:tcW w:w="1185" w:type="dxa"/>
            <w:tcBorders>
              <w:top w:val="single" w:color="000000" w:sz="4" w:space="0"/>
              <w:left w:val="single" w:color="000000" w:sz="4" w:space="0"/>
              <w:bottom w:val="single" w:color="000000"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auto"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auto"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auto"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31099</w:t>
            </w:r>
          </w:p>
        </w:tc>
        <w:tc>
          <w:tcPr>
            <w:tcW w:w="2138" w:type="dxa"/>
            <w:gridSpan w:val="2"/>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其他资本性支出</w:t>
            </w:r>
          </w:p>
        </w:tc>
        <w:tc>
          <w:tcPr>
            <w:tcW w:w="1185" w:type="dxa"/>
            <w:tcBorders>
              <w:top w:val="single" w:color="000000" w:sz="4" w:space="0"/>
              <w:left w:val="single" w:color="000000" w:sz="4" w:space="0"/>
              <w:bottom w:val="single" w:color="auto" w:sz="4"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1,000,000.0</w:t>
            </w:r>
          </w:p>
        </w:tc>
      </w:tr>
      <w:tr>
        <w:tblPrEx>
          <w:tblLayout w:type="fixed"/>
          <w:tblCellMar>
            <w:top w:w="15" w:type="dxa"/>
            <w:left w:w="15" w:type="dxa"/>
            <w:bottom w:w="15" w:type="dxa"/>
            <w:right w:w="15" w:type="dxa"/>
          </w:tblCellMar>
        </w:tblPrEx>
        <w:trPr>
          <w:trHeight w:val="477" w:hRule="atLeast"/>
        </w:trPr>
        <w:tc>
          <w:tcPr>
            <w:tcW w:w="3444"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eastAsia="宋体" w:cs="Times New Roman"/>
                <w:color w:val="000000"/>
                <w:sz w:val="16"/>
                <w:szCs w:val="16"/>
                <w:lang w:eastAsia="zh-CN"/>
              </w:rPr>
            </w:pPr>
            <w:r>
              <w:rPr>
                <w:rFonts w:hint="eastAsia" w:ascii="宋体" w:cs="Times New Roman"/>
                <w:color w:val="000000"/>
                <w:sz w:val="16"/>
                <w:szCs w:val="16"/>
                <w:lang w:eastAsia="zh-CN"/>
              </w:rPr>
              <w:t>人员经费合计</w:t>
            </w:r>
          </w:p>
        </w:tc>
        <w:tc>
          <w:tcPr>
            <w:tcW w:w="1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sz w:val="16"/>
                <w:szCs w:val="16"/>
              </w:rPr>
            </w:pPr>
            <w:r>
              <w:rPr>
                <w:rFonts w:hint="eastAsia" w:ascii="宋体" w:hAnsi="宋体" w:eastAsia="宋体" w:cs="宋体"/>
                <w:i w:val="0"/>
                <w:color w:val="000000"/>
                <w:kern w:val="0"/>
                <w:sz w:val="16"/>
                <w:szCs w:val="16"/>
                <w:u w:val="none"/>
                <w:lang w:val="en-US" w:eastAsia="zh-CN" w:bidi="ar"/>
              </w:rPr>
              <w:t>1,022,430.38</w:t>
            </w:r>
          </w:p>
        </w:tc>
        <w:tc>
          <w:tcPr>
            <w:tcW w:w="3009" w:type="dxa"/>
            <w:gridSpan w:val="4"/>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eastAsia="宋体"/>
                <w:lang w:val="en-US" w:eastAsia="zh-CN"/>
              </w:rPr>
            </w:pPr>
            <w:r>
              <w:rPr>
                <w:rFonts w:hint="eastAsia"/>
                <w:sz w:val="16"/>
                <w:szCs w:val="16"/>
                <w:lang w:val="en-US" w:eastAsia="zh-CN"/>
              </w:rPr>
              <w:t>公用经费合计</w:t>
            </w:r>
          </w:p>
        </w:tc>
        <w:tc>
          <w:tcPr>
            <w:tcW w:w="11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sz w:val="16"/>
                <w:szCs w:val="16"/>
              </w:rPr>
            </w:pPr>
            <w:r>
              <w:rPr>
                <w:rFonts w:hint="eastAsia" w:ascii="宋体" w:hAnsi="宋体" w:eastAsia="宋体" w:cs="宋体"/>
                <w:i w:val="0"/>
                <w:color w:val="000000"/>
                <w:kern w:val="0"/>
                <w:sz w:val="16"/>
                <w:szCs w:val="16"/>
                <w:u w:val="none"/>
                <w:lang w:val="en-US" w:eastAsia="zh-CN" w:bidi="ar"/>
              </w:rPr>
              <w:t>1,270,271.38</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r>
        <w:rPr>
          <w:rFonts w:hint="eastAsia" w:ascii="宋体" w:hAnsi="宋体" w:cs="宋体"/>
          <w:color w:val="000000"/>
          <w:kern w:val="0"/>
          <w:sz w:val="16"/>
          <w:szCs w:val="16"/>
        </w:rPr>
        <w:t>注：本表反映部门本年度一般公共预算财政拨款基本支出明细情况。</w:t>
      </w:r>
    </w:p>
    <w:tbl>
      <w:tblPr>
        <w:tblStyle w:val="6"/>
        <w:tblW w:w="9810" w:type="dxa"/>
        <w:tblInd w:w="-13" w:type="dxa"/>
        <w:tblLayout w:type="fixed"/>
        <w:tblCellMar>
          <w:top w:w="15" w:type="dxa"/>
          <w:left w:w="15" w:type="dxa"/>
          <w:bottom w:w="15" w:type="dxa"/>
          <w:right w:w="15" w:type="dxa"/>
        </w:tblCellMar>
      </w:tblPr>
      <w:tblGrid>
        <w:gridCol w:w="922"/>
        <w:gridCol w:w="861"/>
        <w:gridCol w:w="62"/>
        <w:gridCol w:w="585"/>
        <w:gridCol w:w="115"/>
        <w:gridCol w:w="514"/>
        <w:gridCol w:w="336"/>
        <w:gridCol w:w="294"/>
        <w:gridCol w:w="519"/>
        <w:gridCol w:w="110"/>
        <w:gridCol w:w="662"/>
        <w:gridCol w:w="690"/>
        <w:gridCol w:w="149"/>
        <w:gridCol w:w="647"/>
        <w:gridCol w:w="630"/>
        <w:gridCol w:w="329"/>
        <w:gridCol w:w="301"/>
        <w:gridCol w:w="630"/>
        <w:gridCol w:w="884"/>
        <w:gridCol w:w="570"/>
      </w:tblGrid>
      <w:tr>
        <w:tblPrEx>
          <w:tblLayout w:type="fixed"/>
          <w:tblCellMar>
            <w:top w:w="15" w:type="dxa"/>
            <w:left w:w="15" w:type="dxa"/>
            <w:bottom w:w="15" w:type="dxa"/>
            <w:right w:w="15" w:type="dxa"/>
          </w:tblCellMar>
        </w:tblPrEx>
        <w:trPr>
          <w:trHeight w:val="375" w:hRule="atLeast"/>
        </w:trPr>
        <w:tc>
          <w:tcPr>
            <w:tcW w:w="9810" w:type="dxa"/>
            <w:gridSpan w:val="20"/>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83" w:type="dxa"/>
            <w:gridSpan w:val="2"/>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62" w:type="dxa"/>
            <w:vAlign w:val="center"/>
          </w:tcPr>
          <w:p>
            <w:pPr>
              <w:rPr>
                <w:rFonts w:ascii="宋体" w:cs="Times New Roman"/>
                <w:color w:val="000000"/>
                <w:sz w:val="16"/>
                <w:szCs w:val="16"/>
              </w:rPr>
            </w:pPr>
          </w:p>
        </w:tc>
        <w:tc>
          <w:tcPr>
            <w:tcW w:w="839" w:type="dxa"/>
            <w:gridSpan w:val="2"/>
            <w:vAlign w:val="center"/>
          </w:tcPr>
          <w:p>
            <w:pPr>
              <w:rPr>
                <w:rFonts w:ascii="宋体" w:cs="Times New Roman"/>
                <w:color w:val="000000"/>
                <w:sz w:val="16"/>
                <w:szCs w:val="16"/>
              </w:rPr>
            </w:pPr>
          </w:p>
        </w:tc>
        <w:tc>
          <w:tcPr>
            <w:tcW w:w="647" w:type="dxa"/>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1454"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83" w:type="dxa"/>
            <w:gridSpan w:val="2"/>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62" w:type="dxa"/>
            <w:vAlign w:val="center"/>
          </w:tcPr>
          <w:p>
            <w:pPr>
              <w:rPr>
                <w:rFonts w:ascii="宋体" w:cs="Times New Roman"/>
                <w:color w:val="000000"/>
                <w:sz w:val="16"/>
                <w:szCs w:val="16"/>
              </w:rPr>
            </w:pPr>
          </w:p>
        </w:tc>
        <w:tc>
          <w:tcPr>
            <w:tcW w:w="839" w:type="dxa"/>
            <w:gridSpan w:val="2"/>
            <w:vAlign w:val="center"/>
          </w:tcPr>
          <w:p>
            <w:pPr>
              <w:rPr>
                <w:rFonts w:ascii="宋体" w:cs="Times New Roman"/>
                <w:color w:val="000000"/>
                <w:sz w:val="16"/>
                <w:szCs w:val="16"/>
              </w:rPr>
            </w:pPr>
          </w:p>
        </w:tc>
        <w:tc>
          <w:tcPr>
            <w:tcW w:w="647" w:type="dxa"/>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1454"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4980"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年度预算数</w:t>
            </w:r>
          </w:p>
        </w:tc>
        <w:tc>
          <w:tcPr>
            <w:tcW w:w="4830"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922"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92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363"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77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c>
          <w:tcPr>
            <w:tcW w:w="69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79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774"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570" w:type="dxa"/>
            <w:vMerge w:val="restart"/>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r>
      <w:tr>
        <w:tblPrEx>
          <w:tblLayout w:type="fixed"/>
        </w:tblPrEx>
        <w:trPr>
          <w:trHeight w:val="600" w:hRule="atLeast"/>
        </w:trPr>
        <w:tc>
          <w:tcPr>
            <w:tcW w:w="922"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8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77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6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79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9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570"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300" w:hRule="atLeast"/>
        </w:trPr>
        <w:tc>
          <w:tcPr>
            <w:tcW w:w="922"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8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7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c>
          <w:tcPr>
            <w:tcW w:w="79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9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9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8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5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922" w:type="dxa"/>
            <w:tcBorders>
              <w:top w:val="single" w:color="000000" w:sz="4" w:space="0"/>
              <w:left w:val="single" w:color="000000" w:sz="12"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eastAsia="宋体" w:cs="宋体"/>
                <w:i w:val="0"/>
                <w:color w:val="000000"/>
                <w:kern w:val="0"/>
                <w:sz w:val="16"/>
                <w:szCs w:val="16"/>
                <w:u w:val="none"/>
                <w:lang w:val="en-US" w:eastAsia="zh-CN" w:bidi="ar"/>
              </w:rPr>
              <w:t>6,500.00</w:t>
            </w:r>
          </w:p>
        </w:tc>
        <w:tc>
          <w:tcPr>
            <w:tcW w:w="923"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70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50"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13"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772"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6,500.00</w:t>
            </w:r>
          </w:p>
        </w:tc>
        <w:tc>
          <w:tcPr>
            <w:tcW w:w="690"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b/>
                <w:bCs/>
                <w:color w:val="000000"/>
                <w:sz w:val="16"/>
                <w:szCs w:val="16"/>
              </w:rPr>
            </w:pPr>
            <w:r>
              <w:rPr>
                <w:rFonts w:hint="eastAsia" w:ascii="宋体" w:hAnsi="宋体" w:cs="宋体"/>
                <w:i w:val="0"/>
                <w:color w:val="000000"/>
                <w:kern w:val="0"/>
                <w:sz w:val="16"/>
                <w:szCs w:val="16"/>
                <w:u w:val="none"/>
                <w:lang w:val="en-US" w:eastAsia="zh-CN" w:bidi="ar"/>
              </w:rPr>
              <w:t>0.01.00</w:t>
            </w:r>
          </w:p>
        </w:tc>
        <w:tc>
          <w:tcPr>
            <w:tcW w:w="796"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959"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931" w:type="dxa"/>
            <w:gridSpan w:val="2"/>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884" w:type="dxa"/>
            <w:tcBorders>
              <w:top w:val="single" w:color="000000" w:sz="4" w:space="0"/>
              <w:left w:val="single" w:color="000000" w:sz="4" w:space="0"/>
              <w:bottom w:val="single" w:color="000000" w:sz="12" w:space="0"/>
              <w:right w:val="single" w:color="000000" w:sz="4"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eastAsia="宋体" w:cs="宋体"/>
                <w:i w:val="0"/>
                <w:color w:val="000000"/>
                <w:kern w:val="0"/>
                <w:sz w:val="16"/>
                <w:szCs w:val="16"/>
                <w:u w:val="none"/>
                <w:lang w:val="en-US" w:eastAsia="zh-CN" w:bidi="ar"/>
              </w:rPr>
              <w:t>0.00</w:t>
            </w:r>
          </w:p>
        </w:tc>
        <w:tc>
          <w:tcPr>
            <w:tcW w:w="570" w:type="dxa"/>
            <w:tcBorders>
              <w:top w:val="single" w:color="000000" w:sz="4" w:space="0"/>
              <w:left w:val="single" w:color="000000" w:sz="4" w:space="0"/>
              <w:bottom w:val="single" w:color="000000" w:sz="12" w:space="0"/>
              <w:right w:val="single" w:color="000000" w:sz="12" w:space="0"/>
            </w:tcBorders>
            <w:vAlign w:val="center"/>
          </w:tcPr>
          <w:p>
            <w:pPr>
              <w:keepNext w:val="0"/>
              <w:keepLines w:val="0"/>
              <w:widowControl/>
              <w:suppressLineNumbers w:val="0"/>
              <w:jc w:val="right"/>
              <w:textAlignment w:val="center"/>
              <w:rPr>
                <w:rFonts w:ascii="宋体" w:cs="Times New Roman"/>
                <w:color w:val="000000"/>
                <w:sz w:val="16"/>
                <w:szCs w:val="16"/>
              </w:rPr>
            </w:pPr>
            <w:r>
              <w:rPr>
                <w:rFonts w:hint="eastAsia" w:ascii="宋体" w:hAnsi="宋体" w:cs="宋体"/>
                <w:i w:val="0"/>
                <w:color w:val="000000"/>
                <w:kern w:val="0"/>
                <w:sz w:val="16"/>
                <w:szCs w:val="16"/>
                <w:u w:val="none"/>
                <w:lang w:val="en-US" w:eastAsia="zh-CN" w:bidi="ar"/>
              </w:rPr>
              <w:t>0.01</w:t>
            </w:r>
            <w:r>
              <w:rPr>
                <w:rFonts w:hint="eastAsia" w:ascii="宋体" w:hAnsi="宋体" w:eastAsia="宋体" w:cs="宋体"/>
                <w:i w:val="0"/>
                <w:color w:val="000000"/>
                <w:kern w:val="0"/>
                <w:sz w:val="16"/>
                <w:szCs w:val="16"/>
                <w:u w:val="none"/>
                <w:lang w:val="en-US" w:eastAsia="zh-CN" w:bidi="ar"/>
              </w:rPr>
              <w:t>00</w:t>
            </w:r>
          </w:p>
        </w:tc>
      </w:tr>
      <w:tr>
        <w:tblPrEx>
          <w:tblLayout w:type="fixed"/>
          <w:tblCellMar>
            <w:top w:w="15" w:type="dxa"/>
            <w:left w:w="15" w:type="dxa"/>
            <w:bottom w:w="15" w:type="dxa"/>
            <w:right w:w="15" w:type="dxa"/>
          </w:tblCellMar>
        </w:tblPrEx>
        <w:trPr>
          <w:trHeight w:val="600" w:hRule="atLeast"/>
        </w:trPr>
        <w:tc>
          <w:tcPr>
            <w:tcW w:w="9810" w:type="dxa"/>
            <w:gridSpan w:val="20"/>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p>
    <w:tbl>
      <w:tblPr>
        <w:tblStyle w:val="6"/>
        <w:tblW w:w="9393" w:type="dxa"/>
        <w:tblInd w:w="-13" w:type="dxa"/>
        <w:tblLayout w:type="fixed"/>
        <w:tblCellMar>
          <w:top w:w="15" w:type="dxa"/>
          <w:left w:w="15" w:type="dxa"/>
          <w:bottom w:w="15" w:type="dxa"/>
          <w:right w:w="15" w:type="dxa"/>
        </w:tblCellMar>
      </w:tblPr>
      <w:tblGrid>
        <w:gridCol w:w="705"/>
        <w:gridCol w:w="886"/>
        <w:gridCol w:w="1436"/>
        <w:gridCol w:w="1166"/>
        <w:gridCol w:w="65"/>
        <w:gridCol w:w="1232"/>
        <w:gridCol w:w="751"/>
        <w:gridCol w:w="152"/>
        <w:gridCol w:w="847"/>
        <w:gridCol w:w="218"/>
        <w:gridCol w:w="1125"/>
        <w:gridCol w:w="810"/>
      </w:tblGrid>
      <w:tr>
        <w:tblPrEx>
          <w:tblLayout w:type="fixed"/>
          <w:tblCellMar>
            <w:top w:w="15" w:type="dxa"/>
            <w:left w:w="15" w:type="dxa"/>
            <w:bottom w:w="15" w:type="dxa"/>
            <w:right w:w="15" w:type="dxa"/>
          </w:tblCellMar>
        </w:tblPrEx>
        <w:trPr>
          <w:trHeight w:val="375" w:hRule="atLeast"/>
        </w:trPr>
        <w:tc>
          <w:tcPr>
            <w:tcW w:w="9393" w:type="dxa"/>
            <w:gridSpan w:val="12"/>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591" w:type="dxa"/>
            <w:gridSpan w:val="2"/>
            <w:vAlign w:val="center"/>
          </w:tcPr>
          <w:p>
            <w:pPr>
              <w:rPr>
                <w:rFonts w:ascii="宋体" w:cs="Times New Roman"/>
                <w:color w:val="000000"/>
                <w:sz w:val="16"/>
                <w:szCs w:val="16"/>
              </w:rPr>
            </w:pPr>
          </w:p>
        </w:tc>
        <w:tc>
          <w:tcPr>
            <w:tcW w:w="1436" w:type="dxa"/>
            <w:vAlign w:val="center"/>
          </w:tcPr>
          <w:p>
            <w:pPr>
              <w:rPr>
                <w:rFonts w:ascii="宋体" w:cs="Times New Roman"/>
                <w:color w:val="000000"/>
                <w:sz w:val="16"/>
                <w:szCs w:val="16"/>
              </w:rPr>
            </w:pP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1343" w:type="dxa"/>
            <w:gridSpan w:val="2"/>
            <w:vAlign w:val="center"/>
          </w:tcPr>
          <w:p>
            <w:pPr>
              <w:rPr>
                <w:rFonts w:ascii="宋体" w:cs="Times New Roman"/>
                <w:color w:val="000000"/>
                <w:sz w:val="16"/>
                <w:szCs w:val="16"/>
              </w:rPr>
            </w:pPr>
          </w:p>
        </w:tc>
        <w:tc>
          <w:tcPr>
            <w:tcW w:w="81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591" w:type="dxa"/>
            <w:gridSpan w:val="2"/>
            <w:vAlign w:val="center"/>
          </w:tcPr>
          <w:p>
            <w:pPr>
              <w:rPr>
                <w:rFonts w:ascii="宋体" w:cs="Times New Roman"/>
                <w:color w:val="000000"/>
                <w:sz w:val="16"/>
                <w:szCs w:val="16"/>
              </w:rPr>
            </w:pPr>
          </w:p>
        </w:tc>
        <w:tc>
          <w:tcPr>
            <w:tcW w:w="1436" w:type="dxa"/>
            <w:vAlign w:val="center"/>
          </w:tcPr>
          <w:p>
            <w:pPr>
              <w:rPr>
                <w:rFonts w:ascii="宋体" w:cs="Times New Roman"/>
                <w:color w:val="000000"/>
                <w:sz w:val="16"/>
                <w:szCs w:val="16"/>
              </w:rPr>
            </w:pP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1343" w:type="dxa"/>
            <w:gridSpan w:val="2"/>
            <w:vAlign w:val="center"/>
          </w:tcPr>
          <w:p>
            <w:pPr>
              <w:rPr>
                <w:rFonts w:ascii="宋体" w:cs="Times New Roman"/>
                <w:color w:val="000000"/>
                <w:sz w:val="16"/>
                <w:szCs w:val="16"/>
              </w:rPr>
            </w:pPr>
          </w:p>
        </w:tc>
        <w:tc>
          <w:tcPr>
            <w:tcW w:w="81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231"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年初结转和结余</w:t>
            </w:r>
          </w:p>
        </w:tc>
        <w:tc>
          <w:tcPr>
            <w:tcW w:w="1232"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w:t>
            </w:r>
          </w:p>
        </w:tc>
        <w:tc>
          <w:tcPr>
            <w:tcW w:w="3093"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w:t>
            </w:r>
          </w:p>
        </w:tc>
        <w:tc>
          <w:tcPr>
            <w:tcW w:w="81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年末结转和结余</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31"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32"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81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207</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文化体育与传媒支出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2070701</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资助国产影片放映</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2070702</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资助城市影院</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2070703</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资助少数民族电影译制</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2070799</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其他国家电影事业发展专项资金支出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208</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社会保障和就业支出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20822</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大中型水库移民后期扶持基金支出</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903"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06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8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7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32"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903"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06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125"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81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9393" w:type="dxa"/>
            <w:gridSpan w:val="12"/>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r>
        <w:tblPrEx>
          <w:tblLayout w:type="fixed"/>
          <w:tblCellMar>
            <w:top w:w="15" w:type="dxa"/>
            <w:left w:w="15" w:type="dxa"/>
            <w:bottom w:w="15" w:type="dxa"/>
            <w:right w:w="15" w:type="dxa"/>
          </w:tblCellMar>
        </w:tblPrEx>
        <w:trPr>
          <w:trHeight w:val="285" w:hRule="atLeast"/>
        </w:trPr>
        <w:tc>
          <w:tcPr>
            <w:tcW w:w="9393" w:type="dxa"/>
            <w:gridSpan w:val="12"/>
            <w:vAlign w:val="center"/>
          </w:tcPr>
          <w:p>
            <w:pPr>
              <w:widowControl/>
              <w:jc w:val="left"/>
              <w:textAlignment w:val="center"/>
              <w:rPr>
                <w:rFonts w:ascii="宋体" w:cs="Times New Roman"/>
                <w:b/>
                <w:bCs/>
                <w:color w:val="FF0000"/>
                <w:sz w:val="20"/>
                <w:szCs w:val="20"/>
              </w:rPr>
            </w:pPr>
            <w:r>
              <w:rPr>
                <w:rFonts w:hint="eastAsia" w:ascii="宋体" w:hAnsi="宋体" w:cs="宋体"/>
                <w:b/>
                <w:bCs/>
                <w:color w:val="FF0000"/>
                <w:kern w:val="0"/>
                <w:sz w:val="20"/>
                <w:szCs w:val="20"/>
              </w:rPr>
              <w:t>说明：</w:t>
            </w:r>
            <w:r>
              <w:rPr>
                <w:rFonts w:hint="eastAsia" w:ascii="宋体" w:hAnsi="宋体" w:cs="宋体"/>
                <w:b/>
                <w:bCs/>
                <w:color w:val="FF0000"/>
                <w:kern w:val="0"/>
                <w:sz w:val="20"/>
                <w:szCs w:val="20"/>
                <w:lang w:eastAsia="zh-CN"/>
              </w:rPr>
              <w:t>区安监局</w:t>
            </w:r>
            <w:r>
              <w:rPr>
                <w:rFonts w:hint="eastAsia" w:ascii="宋体" w:hAnsi="宋体" w:cs="宋体"/>
                <w:b/>
                <w:bCs/>
                <w:color w:val="FF0000"/>
                <w:kern w:val="0"/>
                <w:sz w:val="20"/>
                <w:szCs w:val="20"/>
              </w:rPr>
              <w:t>没有政府性基金收入，也没有使用政府性基金安排的支出，故本表无数据。</w:t>
            </w:r>
          </w:p>
        </w:tc>
      </w:tr>
    </w:tbl>
    <w:p>
      <w:pPr>
        <w:spacing w:line="360" w:lineRule="auto"/>
        <w:jc w:val="center"/>
        <w:rPr>
          <w:rFonts w:ascii="隶书" w:hAnsi="隶书" w:eastAsia="隶书" w:cs="Times New Roman"/>
          <w:sz w:val="52"/>
          <w:szCs w:val="5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center"/>
        <w:outlineLvl w:val="0"/>
        <w:rPr>
          <w:rFonts w:ascii="隶书" w:hAnsi="隶书" w:eastAsia="隶书" w:cs="Times New Roman"/>
          <w:sz w:val="48"/>
          <w:szCs w:val="48"/>
        </w:rPr>
      </w:pPr>
      <w:r>
        <w:rPr>
          <w:rFonts w:hint="eastAsia" w:ascii="隶书" w:hAnsi="隶书" w:eastAsia="隶书" w:cs="隶书"/>
          <w:sz w:val="48"/>
          <w:szCs w:val="48"/>
        </w:rPr>
        <w:t>第三部分</w:t>
      </w:r>
    </w:p>
    <w:p>
      <w:pPr>
        <w:jc w:val="center"/>
        <w:rPr>
          <w:rFonts w:hint="eastAsia" w:ascii="隶书" w:hAnsi="隶书" w:eastAsia="隶书" w:cs="Times New Roman"/>
          <w:sz w:val="48"/>
          <w:szCs w:val="48"/>
          <w:lang w:eastAsia="zh-CN"/>
        </w:rPr>
      </w:pPr>
      <w:r>
        <w:rPr>
          <w:rFonts w:hint="eastAsia" w:ascii="隶书" w:hAnsi="隶书" w:eastAsia="隶书" w:cs="Times New Roman"/>
          <w:sz w:val="48"/>
          <w:szCs w:val="48"/>
          <w:lang w:eastAsia="zh-CN"/>
        </w:rPr>
        <w:t>区安监局</w:t>
      </w:r>
    </w:p>
    <w:p>
      <w:pPr>
        <w:jc w:val="center"/>
        <w:rPr>
          <w:rFonts w:ascii="隶书" w:hAnsi="隶书" w:eastAsia="隶书" w:cs="Times New Roman"/>
          <w:sz w:val="48"/>
          <w:szCs w:val="48"/>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r>
        <w:rPr>
          <w:rFonts w:ascii="隶书" w:hAnsi="隶书" w:eastAsia="隶书" w:cs="隶书"/>
          <w:sz w:val="48"/>
          <w:szCs w:val="48"/>
        </w:rPr>
        <w:t>2016</w:t>
      </w:r>
      <w:r>
        <w:rPr>
          <w:rFonts w:hint="eastAsia" w:ascii="隶书" w:hAnsi="隶书" w:eastAsia="隶书" w:cs="隶书"/>
          <w:sz w:val="48"/>
          <w:szCs w:val="48"/>
        </w:rPr>
        <w:t>年度部门决算情况说明</w:t>
      </w: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关于收入支出决算总体情况说明</w:t>
      </w:r>
    </w:p>
    <w:p>
      <w:pPr>
        <w:pStyle w:val="2"/>
        <w:kinsoku w:val="0"/>
        <w:overflowPunct w:val="0"/>
        <w:autoSpaceDN/>
        <w:spacing w:line="500" w:lineRule="exact"/>
        <w:ind w:left="0" w:firstLine="640" w:firstLineChars="200"/>
        <w:rPr>
          <w:rFonts w:hint="eastAsia"/>
          <w:sz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年度收入总计</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万元，支出总计</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年相比，收、支总计各增加</w:t>
      </w:r>
      <w:r>
        <w:rPr>
          <w:rFonts w:hint="eastAsia" w:ascii="仿宋_GB2312" w:hAnsi="宋体" w:eastAsia="仿宋_GB2312" w:cs="仿宋_GB2312"/>
          <w:sz w:val="32"/>
          <w:szCs w:val="32"/>
          <w:lang w:val="en-US" w:eastAsia="zh-CN"/>
        </w:rPr>
        <w:t>108.25</w:t>
      </w:r>
      <w:r>
        <w:rPr>
          <w:rFonts w:hint="eastAsia" w:ascii="仿宋_GB2312" w:hAnsi="宋体" w:eastAsia="仿宋_GB2312" w:cs="仿宋_GB2312"/>
          <w:sz w:val="32"/>
          <w:szCs w:val="32"/>
        </w:rPr>
        <w:t>万元，增长（下降）</w:t>
      </w:r>
      <w:r>
        <w:rPr>
          <w:rFonts w:hint="eastAsia" w:ascii="仿宋_GB2312" w:hAnsi="宋体" w:eastAsia="仿宋_GB2312" w:cs="仿宋_GB2312"/>
          <w:sz w:val="32"/>
          <w:szCs w:val="32"/>
          <w:lang w:val="en-US" w:eastAsia="zh-CN"/>
        </w:rPr>
        <w:t>47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spacing w:val="-34"/>
          <w:sz w:val="32"/>
          <w:lang w:val="en-US" w:eastAsia="zh-CN"/>
        </w:rPr>
        <w:t>主要原因是：</w:t>
      </w:r>
      <w:r>
        <w:rPr>
          <w:rFonts w:hint="eastAsia"/>
          <w:spacing w:val="-1"/>
          <w:sz w:val="32"/>
        </w:rPr>
        <w:t>201</w:t>
      </w:r>
      <w:r>
        <w:rPr>
          <w:rFonts w:hint="eastAsia"/>
          <w:sz w:val="32"/>
          <w:lang w:val="en-US" w:eastAsia="zh-CN"/>
        </w:rPr>
        <w:t>6应急救援资金占100万</w:t>
      </w:r>
      <w:r>
        <w:rPr>
          <w:rFonts w:hint="eastAsia"/>
          <w:sz w:val="32"/>
          <w:lang w:eastAsia="zh-CN"/>
        </w:rPr>
        <w:t>，安全监管监察专项资金增加</w:t>
      </w:r>
      <w:r>
        <w:rPr>
          <w:rFonts w:hint="eastAsia"/>
          <w:sz w:val="32"/>
          <w:lang w:val="en-US" w:eastAsia="zh-CN"/>
        </w:rPr>
        <w:t>7万，</w:t>
      </w:r>
      <w:r>
        <w:rPr>
          <w:rFonts w:hint="eastAsia"/>
          <w:sz w:val="32"/>
          <w:lang w:eastAsia="zh-CN"/>
        </w:rPr>
        <w:t>其余与</w:t>
      </w:r>
      <w:r>
        <w:rPr>
          <w:rFonts w:hint="eastAsia"/>
          <w:sz w:val="32"/>
          <w:lang w:val="en-US" w:eastAsia="zh-CN"/>
        </w:rPr>
        <w:t>2015年数据基本持平</w:t>
      </w:r>
      <w:r>
        <w:rPr>
          <w:rFonts w:hint="eastAsia"/>
          <w:spacing w:val="-34"/>
          <w:sz w:val="32"/>
          <w:lang w:val="en-US" w:eastAsia="zh-CN"/>
        </w:rPr>
        <w:t>。</w:t>
      </w:r>
    </w:p>
    <w:p>
      <w:pPr>
        <w:adjustRightInd w:val="0"/>
        <w:snapToGrid w:val="0"/>
        <w:spacing w:line="360" w:lineRule="auto"/>
        <w:rPr>
          <w:rFonts w:ascii="仿宋_GB2312" w:hAnsi="宋体"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关于收入决算情况说明</w:t>
      </w:r>
    </w:p>
    <w:p>
      <w:pPr>
        <w:adjustRightInd w:val="0"/>
        <w:snapToGrid w:val="0"/>
        <w:spacing w:line="360" w:lineRule="auto"/>
        <w:ind w:firstLine="640" w:firstLineChars="200"/>
        <w:rPr>
          <w:rFonts w:ascii="仿宋_GB2312" w:hAnsi="Times New Roman"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w:t>
      </w:r>
      <w:r>
        <w:rPr>
          <w:rFonts w:hint="eastAsia" w:ascii="仿宋_GB2312" w:hAnsi="Times New Roman" w:eastAsia="仿宋_GB2312" w:cs="仿宋_GB2312"/>
          <w:sz w:val="32"/>
          <w:szCs w:val="32"/>
        </w:rPr>
        <w:t>收入合计</w:t>
      </w:r>
      <w:r>
        <w:rPr>
          <w:rFonts w:hint="eastAsia" w:ascii="仿宋_GB2312" w:hAnsi="Times New Roman" w:eastAsia="仿宋_GB2312" w:cs="仿宋_GB2312"/>
          <w:sz w:val="32"/>
          <w:szCs w:val="32"/>
          <w:lang w:val="en-US" w:eastAsia="zh-CN"/>
        </w:rPr>
        <w:t>229.27</w:t>
      </w:r>
      <w:r>
        <w:rPr>
          <w:rFonts w:hint="eastAsia" w:ascii="仿宋_GB2312" w:hAnsi="Times New Roman" w:eastAsia="仿宋_GB2312" w:cs="仿宋_GB2312"/>
          <w:sz w:val="32"/>
          <w:szCs w:val="32"/>
        </w:rPr>
        <w:t>万元，其中：财政拨款收入</w:t>
      </w:r>
      <w:r>
        <w:rPr>
          <w:rFonts w:hint="eastAsia" w:ascii="仿宋_GB2312" w:hAnsi="Times New Roman" w:eastAsia="仿宋_GB2312" w:cs="仿宋_GB2312"/>
          <w:sz w:val="32"/>
          <w:szCs w:val="32"/>
          <w:lang w:val="en-US" w:eastAsia="zh-CN"/>
        </w:rPr>
        <w:t>229.27</w:t>
      </w:r>
      <w:r>
        <w:rPr>
          <w:rFonts w:hint="eastAsia" w:ascii="仿宋_GB2312" w:hAnsi="Times New Roman" w:eastAsia="仿宋_GB2312" w:cs="仿宋_GB2312"/>
          <w:sz w:val="32"/>
          <w:szCs w:val="32"/>
        </w:rPr>
        <w:t>万元，占</w:t>
      </w:r>
      <w:r>
        <w:rPr>
          <w:rFonts w:hint="eastAsia" w:ascii="仿宋_GB2312" w:hAnsi="Times New Roman" w:eastAsia="仿宋_GB2312" w:cs="仿宋_GB2312"/>
          <w:sz w:val="32"/>
          <w:szCs w:val="32"/>
          <w:lang w:val="en-US" w:eastAsia="zh-CN"/>
        </w:rPr>
        <w:t>100</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w:t>
      </w:r>
    </w:p>
    <w:p>
      <w:pPr>
        <w:adjustRightInd w:val="0"/>
        <w:snapToGrid w:val="0"/>
        <w:spacing w:line="360" w:lineRule="auto"/>
        <w:ind w:firstLine="640" w:firstLineChars="200"/>
        <w:rPr>
          <w:rFonts w:ascii="仿宋_GB2312" w:hAnsi="Times New Roman"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关于支出决算情况说明</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年度支出合计</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万元，其中：基本支出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ascii="仿宋_GB2312" w:hAnsi="宋体"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关于财政拨款收入支出决算总体情况说明</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年财政拨款收支总决算</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年相比，财政拨款收、支总计各增加</w:t>
      </w:r>
      <w:r>
        <w:rPr>
          <w:rFonts w:hint="eastAsia" w:ascii="仿宋_GB2312" w:hAnsi="宋体" w:eastAsia="仿宋_GB2312" w:cs="仿宋_GB2312"/>
          <w:sz w:val="32"/>
          <w:szCs w:val="32"/>
          <w:lang w:val="en-US" w:eastAsia="zh-CN"/>
        </w:rPr>
        <w:t>108.25</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47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ascii="仿宋_GB2312" w:hAnsi="宋体" w:eastAsia="仿宋_GB2312" w:cs="Times New Roman"/>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关于一般公共预算财政拨款支出决算情况说明</w:t>
      </w: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财政拨款支出决算总体情况。</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年一般公共预算财政拨款支出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万元，占支出合计的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w:t>
      </w:r>
      <w:r>
        <w:rPr>
          <w:rFonts w:ascii="仿宋_GB2312" w:hAnsi="宋体" w:eastAsia="仿宋_GB2312" w:cs="仿宋_GB2312"/>
          <w:sz w:val="32"/>
          <w:szCs w:val="32"/>
        </w:rPr>
        <w:t>2015</w:t>
      </w:r>
      <w:r>
        <w:rPr>
          <w:rFonts w:hint="eastAsia" w:ascii="仿宋_GB2312" w:hAnsi="宋体" w:eastAsia="仿宋_GB2312" w:cs="仿宋_GB2312"/>
          <w:sz w:val="32"/>
          <w:szCs w:val="32"/>
        </w:rPr>
        <w:t>年相比，一般公共预算财政拨款支出增加</w:t>
      </w:r>
      <w:r>
        <w:rPr>
          <w:rFonts w:hint="eastAsia" w:ascii="仿宋_GB2312" w:hAnsi="宋体" w:eastAsia="仿宋_GB2312" w:cs="仿宋_GB2312"/>
          <w:sz w:val="32"/>
          <w:szCs w:val="32"/>
          <w:lang w:val="en-US" w:eastAsia="zh-CN"/>
        </w:rPr>
        <w:t>108.25</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47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财政拨款支出决算结构情况。</w:t>
      </w:r>
    </w:p>
    <w:p>
      <w:pPr>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年度一般公共预算财政拨款支出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万元，主要用于以下方面：</w:t>
      </w:r>
      <w:r>
        <w:rPr>
          <w:rFonts w:hint="eastAsia" w:ascii="仿宋_GB2312" w:hAnsi="宋体" w:eastAsia="仿宋_GB2312" w:cs="仿宋_GB2312"/>
          <w:b w:val="0"/>
          <w:bCs w:val="0"/>
          <w:sz w:val="32"/>
          <w:szCs w:val="32"/>
        </w:rPr>
        <w:t>一般公共服务（类）</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jc w:val="center"/>
        <w:rPr>
          <w:rFonts w:ascii="仿宋_GB2312" w:hAnsi="宋体" w:eastAsia="仿宋_GB2312" w:cs="Times New Roman"/>
          <w:sz w:val="32"/>
          <w:szCs w:val="32"/>
        </w:rPr>
      </w:pPr>
    </w:p>
    <w:p>
      <w:pPr>
        <w:numPr>
          <w:ilvl w:val="0"/>
          <w:numId w:val="5"/>
        </w:numPr>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财政拨款支出决算具体情况。</w:t>
      </w:r>
    </w:p>
    <w:p>
      <w:pPr>
        <w:adjustRightInd w:val="0"/>
        <w:snapToGrid w:val="0"/>
        <w:spacing w:line="360" w:lineRule="auto"/>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年度一般公共预算财政拨款支出年初预算为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229.27</w:t>
      </w:r>
      <w:r>
        <w:rPr>
          <w:rFonts w:hint="eastAsia" w:ascii="仿宋_GB2312" w:hAnsi="宋体" w:eastAsia="仿宋_GB2312" w:cs="仿宋_GB2312"/>
          <w:sz w:val="32"/>
          <w:szCs w:val="32"/>
        </w:rPr>
        <w:t>万元，完成年初预算的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adjustRightInd w:val="0"/>
        <w:snapToGrid w:val="0"/>
        <w:spacing w:line="360" w:lineRule="auto"/>
        <w:ind w:firstLine="640" w:firstLineChars="200"/>
        <w:rPr>
          <w:rFonts w:hint="eastAsia" w:ascii="仿宋_GB2312" w:hAnsi="宋体" w:eastAsia="仿宋_GB2312" w:cs="仿宋_GB2312"/>
          <w:sz w:val="32"/>
          <w:szCs w:val="32"/>
        </w:rPr>
      </w:pP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关于一般公共预算财政拨款基本支出决算情况说明</w:t>
      </w:r>
    </w:p>
    <w:p>
      <w:pPr>
        <w:pStyle w:val="2"/>
        <w:kinsoku w:val="0"/>
        <w:overflowPunct w:val="0"/>
        <w:spacing w:line="500" w:lineRule="exact"/>
        <w:ind w:left="0" w:firstLine="640" w:firstLineChars="200"/>
        <w:rPr>
          <w:rFonts w:ascii="仿宋_GB2312" w:hAnsi="宋体" w:eastAsia="仿宋_GB2312" w:cs="Times New Roman"/>
          <w:sz w:val="32"/>
          <w:szCs w:val="32"/>
        </w:rPr>
      </w:pPr>
      <w:r>
        <w:rPr>
          <w:rFonts w:hint="eastAsia" w:ascii="仿宋_GB2312" w:hAnsi="仿宋_GB2312" w:eastAsia="仿宋_GB2312" w:cs="仿宋_GB2312"/>
          <w:sz w:val="32"/>
          <w:szCs w:val="32"/>
        </w:rPr>
        <w:t>2016年一般公共预算财政拨款基本支出</w:t>
      </w:r>
      <w:r>
        <w:rPr>
          <w:rFonts w:hint="eastAsia" w:ascii="仿宋_GB2312" w:hAnsi="仿宋_GB2312" w:eastAsia="仿宋_GB2312" w:cs="仿宋_GB2312"/>
          <w:sz w:val="32"/>
          <w:szCs w:val="32"/>
          <w:lang w:val="en-US" w:eastAsia="zh-CN"/>
        </w:rPr>
        <w:t>229.27</w:t>
      </w:r>
      <w:r>
        <w:rPr>
          <w:rFonts w:hint="eastAsia" w:ascii="仿宋_GB2312" w:hAnsi="仿宋_GB2312" w:eastAsia="仿宋_GB2312" w:cs="仿宋_GB2312"/>
          <w:sz w:val="32"/>
          <w:szCs w:val="32"/>
        </w:rPr>
        <w:t>万元，其中：</w:t>
      </w:r>
      <w:r>
        <w:rPr>
          <w:rFonts w:hint="eastAsia" w:ascii="仿宋_GB2312" w:hAnsi="仿宋_GB2312" w:eastAsia="仿宋_GB2312" w:cs="仿宋_GB2312"/>
          <w:b w:val="0"/>
          <w:bCs w:val="0"/>
          <w:spacing w:val="-1"/>
          <w:kern w:val="0"/>
          <w:sz w:val="32"/>
          <w:szCs w:val="32"/>
        </w:rPr>
        <w:t>人员经费</w:t>
      </w:r>
      <w:r>
        <w:rPr>
          <w:rFonts w:hint="eastAsia" w:ascii="仿宋_GB2312" w:hAnsi="仿宋_GB2312" w:eastAsia="仿宋_GB2312" w:cs="仿宋_GB2312"/>
          <w:spacing w:val="-1"/>
          <w:kern w:val="0"/>
          <w:sz w:val="32"/>
          <w:szCs w:val="32"/>
          <w:lang w:val="en-US" w:eastAsia="zh-CN"/>
        </w:rPr>
        <w:t>102.24</w:t>
      </w:r>
      <w:r>
        <w:rPr>
          <w:rFonts w:hint="eastAsia" w:ascii="仿宋_GB2312" w:hAnsi="仿宋_GB2312" w:eastAsia="仿宋_GB2312" w:cs="仿宋_GB2312"/>
          <w:spacing w:val="-1"/>
          <w:kern w:val="0"/>
          <w:sz w:val="32"/>
          <w:szCs w:val="32"/>
        </w:rPr>
        <w:t>万元</w:t>
      </w:r>
      <w:r>
        <w:rPr>
          <w:rFonts w:hint="eastAsia" w:ascii="仿宋_GB2312" w:hAnsi="仿宋_GB2312" w:eastAsia="仿宋_GB2312" w:cs="仿宋_GB2312"/>
          <w:sz w:val="32"/>
          <w:szCs w:val="32"/>
        </w:rPr>
        <w:t>，主要包括：</w:t>
      </w:r>
      <w:r>
        <w:rPr>
          <w:rFonts w:hint="eastAsia" w:ascii="仿宋_GB2312" w:hAnsi="仿宋_GB2312" w:eastAsia="仿宋_GB2312" w:cs="仿宋_GB2312"/>
          <w:spacing w:val="-1"/>
          <w:sz w:val="32"/>
        </w:rPr>
        <w:t>基本工资、津贴补贴、 奖金</w:t>
      </w:r>
      <w:r>
        <w:rPr>
          <w:rFonts w:hint="eastAsia" w:ascii="仿宋_GB2312" w:hAnsi="仿宋_GB2312" w:eastAsia="仿宋_GB2312" w:cs="仿宋_GB2312"/>
          <w:spacing w:val="-35"/>
          <w:sz w:val="32"/>
        </w:rPr>
        <w:t>、</w:t>
      </w:r>
      <w:r>
        <w:rPr>
          <w:rFonts w:hint="eastAsia" w:ascii="仿宋_GB2312" w:hAnsi="仿宋_GB2312" w:eastAsia="仿宋_GB2312" w:cs="仿宋_GB2312"/>
          <w:spacing w:val="-1"/>
          <w:sz w:val="32"/>
        </w:rPr>
        <w:t>社会保障缴费</w:t>
      </w:r>
      <w:r>
        <w:rPr>
          <w:rFonts w:hint="eastAsia" w:ascii="仿宋_GB2312" w:hAnsi="仿宋_GB2312" w:eastAsia="仿宋_GB2312" w:cs="仿宋_GB2312"/>
          <w:spacing w:val="-34"/>
          <w:sz w:val="32"/>
        </w:rPr>
        <w:t>、</w:t>
      </w:r>
      <w:r>
        <w:rPr>
          <w:rFonts w:hint="eastAsia" w:ascii="仿宋_GB2312" w:hAnsi="仿宋_GB2312" w:eastAsia="仿宋_GB2312" w:cs="仿宋_GB2312"/>
          <w:sz w:val="32"/>
        </w:rPr>
        <w:t>伙</w:t>
      </w:r>
      <w:r>
        <w:rPr>
          <w:rFonts w:hint="eastAsia" w:ascii="仿宋_GB2312" w:hAnsi="仿宋_GB2312" w:eastAsia="仿宋_GB2312" w:cs="仿宋_GB2312"/>
          <w:spacing w:val="-1"/>
          <w:sz w:val="32"/>
        </w:rPr>
        <w:t>食补助费</w:t>
      </w:r>
      <w:r>
        <w:rPr>
          <w:rFonts w:hint="eastAsia" w:ascii="仿宋_GB2312" w:hAnsi="仿宋_GB2312" w:eastAsia="仿宋_GB2312" w:cs="仿宋_GB2312"/>
          <w:spacing w:val="-34"/>
          <w:sz w:val="32"/>
        </w:rPr>
        <w:t>、</w:t>
      </w:r>
      <w:r>
        <w:rPr>
          <w:rFonts w:hint="eastAsia" w:ascii="仿宋_GB2312" w:hAnsi="仿宋_GB2312" w:eastAsia="仿宋_GB2312" w:cs="仿宋_GB2312"/>
          <w:sz w:val="32"/>
        </w:rPr>
        <w:t>绩</w:t>
      </w:r>
      <w:r>
        <w:rPr>
          <w:rFonts w:hint="eastAsia" w:ascii="仿宋_GB2312" w:hAnsi="仿宋_GB2312" w:eastAsia="仿宋_GB2312" w:cs="仿宋_GB2312"/>
          <w:spacing w:val="-1"/>
          <w:sz w:val="32"/>
        </w:rPr>
        <w:t>效工资</w:t>
      </w:r>
      <w:r>
        <w:rPr>
          <w:rFonts w:hint="eastAsia" w:ascii="仿宋_GB2312" w:hAnsi="仿宋_GB2312" w:eastAsia="仿宋_GB2312" w:cs="仿宋_GB2312"/>
          <w:spacing w:val="-35"/>
          <w:sz w:val="32"/>
        </w:rPr>
        <w:t>、</w:t>
      </w:r>
      <w:r>
        <w:rPr>
          <w:rFonts w:hint="eastAsia" w:ascii="仿宋_GB2312" w:hAnsi="仿宋_GB2312" w:eastAsia="仿宋_GB2312" w:cs="仿宋_GB2312"/>
          <w:spacing w:val="-1"/>
          <w:sz w:val="32"/>
        </w:rPr>
        <w:t xml:space="preserve">其他工资福利 </w:t>
      </w:r>
      <w:r>
        <w:rPr>
          <w:rFonts w:hint="eastAsia" w:ascii="仿宋_GB2312" w:hAnsi="仿宋_GB2312" w:eastAsia="仿宋_GB2312" w:cs="仿宋_GB2312"/>
          <w:sz w:val="32"/>
        </w:rPr>
        <w:t>支出</w:t>
      </w:r>
      <w:r>
        <w:rPr>
          <w:rFonts w:hint="eastAsia" w:ascii="仿宋_GB2312" w:hAnsi="仿宋_GB2312" w:eastAsia="仿宋_GB2312" w:cs="仿宋_GB2312"/>
          <w:spacing w:val="-2"/>
          <w:sz w:val="32"/>
        </w:rPr>
        <w:t>、</w:t>
      </w:r>
      <w:r>
        <w:rPr>
          <w:rFonts w:hint="eastAsia" w:ascii="仿宋_GB2312" w:hAnsi="仿宋_GB2312" w:eastAsia="仿宋_GB2312" w:cs="仿宋_GB2312"/>
          <w:sz w:val="32"/>
        </w:rPr>
        <w:t>离休</w:t>
      </w:r>
      <w:r>
        <w:rPr>
          <w:rFonts w:hint="eastAsia" w:ascii="仿宋_GB2312" w:hAnsi="仿宋_GB2312" w:eastAsia="仿宋_GB2312" w:cs="仿宋_GB2312"/>
          <w:spacing w:val="-2"/>
          <w:sz w:val="32"/>
        </w:rPr>
        <w:t>费</w:t>
      </w:r>
      <w:r>
        <w:rPr>
          <w:rFonts w:hint="eastAsia" w:ascii="仿宋_GB2312" w:hAnsi="仿宋_GB2312" w:eastAsia="仿宋_GB2312" w:cs="仿宋_GB2312"/>
          <w:sz w:val="32"/>
        </w:rPr>
        <w:t>、退休费、退职（役）费、抚恤金、生活补助、 医疗费</w:t>
      </w:r>
      <w:r>
        <w:rPr>
          <w:rFonts w:hint="eastAsia" w:ascii="仿宋_GB2312" w:hAnsi="仿宋_GB2312" w:eastAsia="仿宋_GB2312" w:cs="仿宋_GB2312"/>
          <w:spacing w:val="-93"/>
          <w:sz w:val="32"/>
        </w:rPr>
        <w:t>、</w:t>
      </w:r>
      <w:r>
        <w:rPr>
          <w:rFonts w:hint="eastAsia" w:ascii="仿宋_GB2312" w:hAnsi="仿宋_GB2312" w:eastAsia="仿宋_GB2312" w:cs="仿宋_GB2312"/>
          <w:sz w:val="32"/>
        </w:rPr>
        <w:t>奖励金</w:t>
      </w:r>
      <w:r>
        <w:rPr>
          <w:rFonts w:hint="eastAsia" w:ascii="仿宋_GB2312" w:hAnsi="仿宋_GB2312" w:eastAsia="仿宋_GB2312" w:cs="仿宋_GB2312"/>
          <w:spacing w:val="-93"/>
          <w:sz w:val="32"/>
        </w:rPr>
        <w:t>、</w:t>
      </w:r>
      <w:r>
        <w:rPr>
          <w:rFonts w:hint="eastAsia" w:ascii="仿宋_GB2312" w:hAnsi="仿宋_GB2312" w:eastAsia="仿宋_GB2312" w:cs="仿宋_GB2312"/>
          <w:spacing w:val="-1"/>
          <w:sz w:val="32"/>
        </w:rPr>
        <w:t>住房公积金、其他对个人和家庭的补助支出</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pacing w:val="-1"/>
          <w:kern w:val="0"/>
          <w:sz w:val="32"/>
          <w:szCs w:val="32"/>
        </w:rPr>
        <w:t>公用经费</w:t>
      </w:r>
      <w:r>
        <w:rPr>
          <w:rFonts w:hint="eastAsia" w:ascii="仿宋_GB2312" w:hAnsi="仿宋_GB2312" w:eastAsia="仿宋_GB2312" w:cs="仿宋_GB2312"/>
          <w:b w:val="0"/>
          <w:bCs w:val="0"/>
          <w:spacing w:val="-1"/>
          <w:kern w:val="0"/>
          <w:sz w:val="32"/>
          <w:szCs w:val="32"/>
          <w:lang w:val="en-US" w:eastAsia="zh-CN"/>
        </w:rPr>
        <w:t>127.03</w:t>
      </w:r>
      <w:r>
        <w:rPr>
          <w:rFonts w:hint="eastAsia" w:ascii="仿宋_GB2312" w:hAnsi="仿宋_GB2312" w:eastAsia="仿宋_GB2312" w:cs="仿宋_GB2312"/>
          <w:spacing w:val="-2"/>
          <w:kern w:val="0"/>
          <w:sz w:val="32"/>
          <w:szCs w:val="32"/>
        </w:rPr>
        <w:t>万元</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rPr>
        <w:t>办</w:t>
      </w:r>
      <w:r>
        <w:rPr>
          <w:rFonts w:hint="eastAsia" w:ascii="仿宋_GB2312" w:hAnsi="仿宋_GB2312" w:eastAsia="仿宋_GB2312" w:cs="仿宋_GB2312"/>
          <w:spacing w:val="-1"/>
          <w:sz w:val="32"/>
        </w:rPr>
        <w:t>公费</w:t>
      </w:r>
      <w:r>
        <w:rPr>
          <w:rFonts w:hint="eastAsia" w:ascii="仿宋_GB2312" w:hAnsi="仿宋_GB2312" w:eastAsia="仿宋_GB2312" w:cs="仿宋_GB2312"/>
          <w:spacing w:val="-20"/>
          <w:sz w:val="32"/>
        </w:rPr>
        <w:t>、</w:t>
      </w:r>
      <w:r>
        <w:rPr>
          <w:rFonts w:hint="eastAsia" w:ascii="仿宋_GB2312" w:hAnsi="仿宋_GB2312" w:eastAsia="仿宋_GB2312" w:cs="仿宋_GB2312"/>
          <w:spacing w:val="-2"/>
          <w:sz w:val="32"/>
        </w:rPr>
        <w:t>印</w:t>
      </w:r>
      <w:r>
        <w:rPr>
          <w:rFonts w:hint="eastAsia" w:ascii="仿宋_GB2312" w:hAnsi="仿宋_GB2312" w:eastAsia="仿宋_GB2312" w:cs="仿宋_GB2312"/>
          <w:spacing w:val="-1"/>
          <w:sz w:val="32"/>
        </w:rPr>
        <w:t>刷费</w:t>
      </w:r>
      <w:r>
        <w:rPr>
          <w:rFonts w:hint="eastAsia" w:ascii="仿宋_GB2312" w:hAnsi="仿宋_GB2312" w:eastAsia="仿宋_GB2312" w:cs="仿宋_GB2312"/>
          <w:spacing w:val="-21"/>
          <w:sz w:val="32"/>
        </w:rPr>
        <w:t>、</w:t>
      </w:r>
      <w:r>
        <w:rPr>
          <w:rFonts w:hint="eastAsia" w:ascii="仿宋_GB2312" w:hAnsi="仿宋_GB2312" w:eastAsia="仿宋_GB2312" w:cs="仿宋_GB2312"/>
          <w:spacing w:val="-1"/>
          <w:sz w:val="32"/>
        </w:rPr>
        <w:t>咨询费</w:t>
      </w:r>
      <w:r>
        <w:rPr>
          <w:rFonts w:hint="eastAsia" w:ascii="仿宋_GB2312" w:hAnsi="仿宋_GB2312" w:eastAsia="仿宋_GB2312" w:cs="仿宋_GB2312"/>
          <w:spacing w:val="-20"/>
          <w:sz w:val="32"/>
        </w:rPr>
        <w:t>、</w:t>
      </w:r>
      <w:r>
        <w:rPr>
          <w:rFonts w:hint="eastAsia" w:ascii="仿宋_GB2312" w:hAnsi="仿宋_GB2312" w:eastAsia="仿宋_GB2312" w:cs="仿宋_GB2312"/>
          <w:sz w:val="32"/>
        </w:rPr>
        <w:t>手</w:t>
      </w:r>
      <w:r>
        <w:rPr>
          <w:rFonts w:hint="eastAsia" w:ascii="仿宋_GB2312" w:hAnsi="仿宋_GB2312" w:eastAsia="仿宋_GB2312" w:cs="仿宋_GB2312"/>
          <w:spacing w:val="-1"/>
          <w:sz w:val="32"/>
        </w:rPr>
        <w:t>续费</w:t>
      </w:r>
      <w:r>
        <w:rPr>
          <w:rFonts w:hint="eastAsia" w:ascii="仿宋_GB2312" w:hAnsi="仿宋_GB2312" w:eastAsia="仿宋_GB2312" w:cs="仿宋_GB2312"/>
          <w:spacing w:val="-20"/>
          <w:sz w:val="32"/>
        </w:rPr>
        <w:t>、</w:t>
      </w:r>
      <w:r>
        <w:rPr>
          <w:rFonts w:hint="eastAsia" w:ascii="仿宋_GB2312" w:hAnsi="仿宋_GB2312" w:eastAsia="仿宋_GB2312" w:cs="仿宋_GB2312"/>
          <w:spacing w:val="-2"/>
          <w:sz w:val="32"/>
        </w:rPr>
        <w:t>水</w:t>
      </w:r>
      <w:r>
        <w:rPr>
          <w:rFonts w:hint="eastAsia" w:ascii="仿宋_GB2312" w:hAnsi="仿宋_GB2312" w:eastAsia="仿宋_GB2312" w:cs="仿宋_GB2312"/>
          <w:spacing w:val="-1"/>
          <w:sz w:val="32"/>
        </w:rPr>
        <w:t>费</w:t>
      </w:r>
      <w:r>
        <w:rPr>
          <w:rFonts w:hint="eastAsia" w:ascii="仿宋_GB2312" w:hAnsi="仿宋_GB2312" w:eastAsia="仿宋_GB2312" w:cs="仿宋_GB2312"/>
          <w:spacing w:val="-20"/>
          <w:sz w:val="32"/>
        </w:rPr>
        <w:t>、</w:t>
      </w:r>
      <w:r>
        <w:rPr>
          <w:rFonts w:hint="eastAsia" w:ascii="仿宋_GB2312" w:hAnsi="仿宋_GB2312" w:eastAsia="仿宋_GB2312" w:cs="仿宋_GB2312"/>
          <w:spacing w:val="-1"/>
          <w:sz w:val="32"/>
        </w:rPr>
        <w:t>电费</w:t>
      </w:r>
      <w:r>
        <w:rPr>
          <w:rFonts w:hint="eastAsia" w:ascii="仿宋_GB2312" w:hAnsi="仿宋_GB2312" w:eastAsia="仿宋_GB2312" w:cs="仿宋_GB2312"/>
          <w:spacing w:val="-20"/>
          <w:sz w:val="32"/>
        </w:rPr>
        <w:t>、</w:t>
      </w:r>
      <w:r>
        <w:rPr>
          <w:rFonts w:hint="eastAsia" w:ascii="仿宋_GB2312" w:hAnsi="仿宋_GB2312" w:eastAsia="仿宋_GB2312" w:cs="仿宋_GB2312"/>
          <w:sz w:val="32"/>
        </w:rPr>
        <w:t>邮</w:t>
      </w:r>
      <w:r>
        <w:rPr>
          <w:rFonts w:hint="eastAsia" w:ascii="仿宋_GB2312" w:hAnsi="仿宋_GB2312" w:eastAsia="仿宋_GB2312" w:cs="仿宋_GB2312"/>
          <w:spacing w:val="-1"/>
          <w:sz w:val="32"/>
        </w:rPr>
        <w:t>电费</w:t>
      </w:r>
      <w:r>
        <w:rPr>
          <w:rFonts w:hint="eastAsia" w:ascii="仿宋_GB2312" w:hAnsi="仿宋_GB2312" w:eastAsia="仿宋_GB2312" w:cs="仿宋_GB2312"/>
          <w:spacing w:val="-21"/>
          <w:sz w:val="32"/>
        </w:rPr>
        <w:t>、</w:t>
      </w:r>
      <w:r>
        <w:rPr>
          <w:rFonts w:hint="eastAsia" w:ascii="仿宋_GB2312" w:hAnsi="仿宋_GB2312" w:eastAsia="仿宋_GB2312" w:cs="仿宋_GB2312"/>
          <w:spacing w:val="-1"/>
          <w:sz w:val="32"/>
        </w:rPr>
        <w:t>取暖费</w:t>
      </w:r>
      <w:r>
        <w:rPr>
          <w:rFonts w:hint="eastAsia" w:ascii="仿宋_GB2312" w:hAnsi="仿宋_GB2312" w:eastAsia="仿宋_GB2312" w:cs="仿宋_GB2312"/>
          <w:spacing w:val="-20"/>
          <w:sz w:val="32"/>
        </w:rPr>
        <w:t>、</w:t>
      </w:r>
      <w:r>
        <w:rPr>
          <w:rFonts w:hint="eastAsia" w:ascii="仿宋_GB2312" w:hAnsi="仿宋_GB2312" w:eastAsia="仿宋_GB2312" w:cs="仿宋_GB2312"/>
          <w:sz w:val="32"/>
        </w:rPr>
        <w:t>物</w:t>
      </w:r>
      <w:r>
        <w:rPr>
          <w:rFonts w:hint="eastAsia" w:ascii="仿宋_GB2312" w:hAnsi="仿宋_GB2312" w:eastAsia="仿宋_GB2312" w:cs="仿宋_GB2312"/>
          <w:spacing w:val="-1"/>
          <w:sz w:val="32"/>
        </w:rPr>
        <w:t>业管理费</w:t>
      </w:r>
      <w:r>
        <w:rPr>
          <w:rFonts w:hint="eastAsia" w:ascii="仿宋_GB2312" w:hAnsi="仿宋_GB2312" w:eastAsia="仿宋_GB2312" w:cs="仿宋_GB2312"/>
          <w:spacing w:val="-20"/>
          <w:sz w:val="32"/>
        </w:rPr>
        <w:t>、</w:t>
      </w:r>
      <w:r>
        <w:rPr>
          <w:rFonts w:hint="eastAsia" w:ascii="仿宋_GB2312" w:hAnsi="仿宋_GB2312" w:eastAsia="仿宋_GB2312" w:cs="仿宋_GB2312"/>
          <w:sz w:val="32"/>
        </w:rPr>
        <w:t>差</w:t>
      </w:r>
      <w:r>
        <w:rPr>
          <w:rFonts w:hint="eastAsia" w:ascii="仿宋_GB2312" w:hAnsi="仿宋_GB2312" w:eastAsia="仿宋_GB2312" w:cs="仿宋_GB2312"/>
          <w:spacing w:val="-1"/>
          <w:sz w:val="32"/>
        </w:rPr>
        <w:t>旅费</w:t>
      </w:r>
      <w:r>
        <w:rPr>
          <w:rFonts w:hint="eastAsia" w:ascii="仿宋_GB2312" w:hAnsi="仿宋_GB2312" w:eastAsia="仿宋_GB2312" w:cs="仿宋_GB2312"/>
          <w:spacing w:val="-20"/>
          <w:sz w:val="32"/>
        </w:rPr>
        <w:t>、</w:t>
      </w:r>
      <w:r>
        <w:rPr>
          <w:rFonts w:hint="eastAsia" w:ascii="仿宋_GB2312" w:hAnsi="仿宋_GB2312" w:eastAsia="仿宋_GB2312" w:cs="仿宋_GB2312"/>
          <w:spacing w:val="-2"/>
          <w:sz w:val="32"/>
        </w:rPr>
        <w:t>因</w:t>
      </w:r>
      <w:r>
        <w:rPr>
          <w:rFonts w:hint="eastAsia" w:ascii="仿宋_GB2312" w:hAnsi="仿宋_GB2312" w:eastAsia="仿宋_GB2312" w:cs="仿宋_GB2312"/>
          <w:spacing w:val="-1"/>
          <w:sz w:val="32"/>
        </w:rPr>
        <w:t>公出</w:t>
      </w:r>
      <w:r>
        <w:rPr>
          <w:rFonts w:hint="eastAsia" w:ascii="仿宋_GB2312" w:hAnsi="仿宋_GB2312" w:eastAsia="仿宋_GB2312" w:cs="仿宋_GB2312"/>
          <w:spacing w:val="-21"/>
          <w:sz w:val="32"/>
        </w:rPr>
        <w:t>国</w:t>
      </w:r>
      <w:r>
        <w:rPr>
          <w:rFonts w:hint="eastAsia"/>
          <w:spacing w:val="-1"/>
          <w:sz w:val="32"/>
        </w:rPr>
        <w:t>（境</w:t>
      </w:r>
      <w:r>
        <w:rPr>
          <w:rFonts w:hint="eastAsia"/>
          <w:spacing w:val="-21"/>
          <w:sz w:val="32"/>
        </w:rPr>
        <w:t>）</w:t>
      </w:r>
      <w:r>
        <w:rPr>
          <w:rFonts w:hint="eastAsia"/>
          <w:spacing w:val="-1"/>
          <w:sz w:val="32"/>
        </w:rPr>
        <w:t>费</w:t>
      </w:r>
      <w:r>
        <w:rPr>
          <w:rFonts w:hint="eastAsia"/>
          <w:spacing w:val="-20"/>
          <w:sz w:val="32"/>
        </w:rPr>
        <w:t>、</w:t>
      </w:r>
      <w:r>
        <w:rPr>
          <w:rFonts w:hint="eastAsia"/>
          <w:sz w:val="32"/>
        </w:rPr>
        <w:t xml:space="preserve">维 </w:t>
      </w:r>
      <w:r>
        <w:rPr>
          <w:rFonts w:hint="eastAsia"/>
          <w:spacing w:val="-20"/>
          <w:sz w:val="32"/>
        </w:rPr>
        <w:t>修</w:t>
      </w:r>
      <w:r>
        <w:rPr>
          <w:rFonts w:hint="eastAsia"/>
          <w:sz w:val="32"/>
        </w:rPr>
        <w:t>（</w:t>
      </w:r>
      <w:r>
        <w:rPr>
          <w:rFonts w:hint="eastAsia"/>
          <w:spacing w:val="-1"/>
          <w:sz w:val="32"/>
        </w:rPr>
        <w:t>护</w:t>
      </w:r>
      <w:r>
        <w:rPr>
          <w:rFonts w:hint="eastAsia"/>
          <w:spacing w:val="-20"/>
          <w:sz w:val="32"/>
        </w:rPr>
        <w:t>）</w:t>
      </w:r>
      <w:r>
        <w:rPr>
          <w:rFonts w:hint="eastAsia"/>
          <w:spacing w:val="-1"/>
          <w:sz w:val="32"/>
        </w:rPr>
        <w:t>费</w:t>
      </w:r>
      <w:r>
        <w:rPr>
          <w:rFonts w:hint="eastAsia"/>
          <w:spacing w:val="-21"/>
          <w:sz w:val="32"/>
        </w:rPr>
        <w:t>、</w:t>
      </w:r>
      <w:r>
        <w:rPr>
          <w:rFonts w:hint="eastAsia"/>
          <w:spacing w:val="-1"/>
          <w:sz w:val="32"/>
        </w:rPr>
        <w:t>租赁费</w:t>
      </w:r>
      <w:r>
        <w:rPr>
          <w:rFonts w:hint="eastAsia"/>
          <w:spacing w:val="-20"/>
          <w:sz w:val="32"/>
        </w:rPr>
        <w:t>、</w:t>
      </w:r>
      <w:r>
        <w:rPr>
          <w:rFonts w:hint="eastAsia"/>
          <w:sz w:val="32"/>
        </w:rPr>
        <w:t>会</w:t>
      </w:r>
      <w:r>
        <w:rPr>
          <w:rFonts w:hint="eastAsia"/>
          <w:spacing w:val="-1"/>
          <w:sz w:val="32"/>
        </w:rPr>
        <w:t>议费</w:t>
      </w:r>
      <w:r>
        <w:rPr>
          <w:rFonts w:hint="eastAsia"/>
          <w:spacing w:val="-20"/>
          <w:sz w:val="32"/>
        </w:rPr>
        <w:t>、</w:t>
      </w:r>
      <w:r>
        <w:rPr>
          <w:rFonts w:hint="eastAsia"/>
          <w:spacing w:val="-2"/>
          <w:sz w:val="32"/>
        </w:rPr>
        <w:t>培</w:t>
      </w:r>
      <w:r>
        <w:rPr>
          <w:rFonts w:hint="eastAsia"/>
          <w:spacing w:val="-1"/>
          <w:sz w:val="32"/>
        </w:rPr>
        <w:t>训费</w:t>
      </w:r>
      <w:r>
        <w:rPr>
          <w:rFonts w:hint="eastAsia"/>
          <w:spacing w:val="-21"/>
          <w:sz w:val="32"/>
        </w:rPr>
        <w:t>、</w:t>
      </w:r>
      <w:r>
        <w:rPr>
          <w:rFonts w:hint="eastAsia"/>
          <w:spacing w:val="-1"/>
          <w:sz w:val="32"/>
        </w:rPr>
        <w:t>公务接待费</w:t>
      </w:r>
      <w:r>
        <w:rPr>
          <w:rFonts w:hint="eastAsia"/>
          <w:spacing w:val="-21"/>
          <w:sz w:val="32"/>
        </w:rPr>
        <w:t>、</w:t>
      </w:r>
      <w:r>
        <w:rPr>
          <w:rFonts w:hint="eastAsia"/>
          <w:spacing w:val="-1"/>
          <w:sz w:val="32"/>
        </w:rPr>
        <w:t>专用材料费</w:t>
      </w:r>
      <w:r>
        <w:rPr>
          <w:rFonts w:hint="eastAsia"/>
          <w:spacing w:val="-29"/>
          <w:sz w:val="32"/>
        </w:rPr>
        <w:t>、</w:t>
      </w:r>
      <w:r>
        <w:rPr>
          <w:rFonts w:hint="eastAsia"/>
          <w:spacing w:val="-1"/>
          <w:sz w:val="32"/>
        </w:rPr>
        <w:t>劳务费</w:t>
      </w:r>
      <w:r>
        <w:rPr>
          <w:rFonts w:hint="eastAsia"/>
          <w:spacing w:val="-28"/>
          <w:sz w:val="32"/>
        </w:rPr>
        <w:t>、</w:t>
      </w:r>
      <w:r>
        <w:rPr>
          <w:rFonts w:hint="eastAsia"/>
          <w:sz w:val="32"/>
        </w:rPr>
        <w:t>委</w:t>
      </w:r>
      <w:r>
        <w:rPr>
          <w:rFonts w:hint="eastAsia"/>
          <w:spacing w:val="-1"/>
          <w:sz w:val="32"/>
        </w:rPr>
        <w:t>托业务费</w:t>
      </w:r>
      <w:r>
        <w:rPr>
          <w:rFonts w:hint="eastAsia"/>
          <w:spacing w:val="-28"/>
          <w:sz w:val="32"/>
        </w:rPr>
        <w:t>、</w:t>
      </w:r>
      <w:r>
        <w:rPr>
          <w:rFonts w:hint="eastAsia"/>
          <w:sz w:val="32"/>
        </w:rPr>
        <w:t>工</w:t>
      </w:r>
      <w:r>
        <w:rPr>
          <w:rFonts w:hint="eastAsia"/>
          <w:spacing w:val="-1"/>
          <w:sz w:val="32"/>
        </w:rPr>
        <w:t>会经费</w:t>
      </w:r>
      <w:r>
        <w:rPr>
          <w:rFonts w:hint="eastAsia"/>
          <w:spacing w:val="-29"/>
          <w:sz w:val="32"/>
        </w:rPr>
        <w:t>、</w:t>
      </w:r>
      <w:r>
        <w:rPr>
          <w:rFonts w:hint="eastAsia"/>
          <w:spacing w:val="-1"/>
          <w:sz w:val="32"/>
        </w:rPr>
        <w:t>福利费</w:t>
      </w:r>
      <w:r>
        <w:rPr>
          <w:rFonts w:hint="eastAsia"/>
          <w:spacing w:val="-28"/>
          <w:sz w:val="32"/>
        </w:rPr>
        <w:t>、</w:t>
      </w:r>
      <w:r>
        <w:rPr>
          <w:rFonts w:hint="eastAsia"/>
          <w:sz w:val="32"/>
        </w:rPr>
        <w:t>公</w:t>
      </w:r>
      <w:r>
        <w:rPr>
          <w:rFonts w:hint="eastAsia"/>
          <w:spacing w:val="-1"/>
          <w:sz w:val="32"/>
        </w:rPr>
        <w:t>务用车运行维护费</w:t>
      </w:r>
      <w:r>
        <w:rPr>
          <w:rFonts w:hint="eastAsia"/>
          <w:spacing w:val="-46"/>
          <w:sz w:val="32"/>
        </w:rPr>
        <w:t>、</w:t>
      </w:r>
      <w:r>
        <w:rPr>
          <w:rFonts w:hint="eastAsia"/>
          <w:spacing w:val="-1"/>
          <w:sz w:val="32"/>
        </w:rPr>
        <w:t>其他交通费用</w:t>
      </w:r>
      <w:r>
        <w:rPr>
          <w:rFonts w:hint="eastAsia"/>
          <w:spacing w:val="-47"/>
          <w:sz w:val="32"/>
        </w:rPr>
        <w:t>、</w:t>
      </w:r>
      <w:r>
        <w:rPr>
          <w:rFonts w:hint="eastAsia"/>
          <w:spacing w:val="-1"/>
          <w:sz w:val="32"/>
        </w:rPr>
        <w:t>税金及附加费用</w:t>
      </w:r>
      <w:r>
        <w:rPr>
          <w:rFonts w:hint="eastAsia"/>
          <w:spacing w:val="-46"/>
          <w:sz w:val="32"/>
        </w:rPr>
        <w:t>、</w:t>
      </w:r>
      <w:r>
        <w:rPr>
          <w:rFonts w:hint="eastAsia"/>
          <w:spacing w:val="-1"/>
          <w:sz w:val="32"/>
        </w:rPr>
        <w:t>其他商品和服务支出</w:t>
      </w:r>
      <w:r>
        <w:rPr>
          <w:rFonts w:hint="eastAsia"/>
          <w:spacing w:val="-35"/>
          <w:sz w:val="32"/>
        </w:rPr>
        <w:t>、</w:t>
      </w:r>
      <w:r>
        <w:rPr>
          <w:rFonts w:hint="eastAsia"/>
          <w:spacing w:val="-1"/>
          <w:sz w:val="32"/>
        </w:rPr>
        <w:t>办公设备购置</w:t>
      </w:r>
      <w:r>
        <w:rPr>
          <w:rFonts w:hint="eastAsia"/>
          <w:spacing w:val="-34"/>
          <w:sz w:val="32"/>
        </w:rPr>
        <w:t>、</w:t>
      </w:r>
      <w:r>
        <w:rPr>
          <w:rFonts w:hint="eastAsia"/>
          <w:sz w:val="32"/>
        </w:rPr>
        <w:t>专</w:t>
      </w:r>
      <w:r>
        <w:rPr>
          <w:rFonts w:hint="eastAsia"/>
          <w:spacing w:val="-1"/>
          <w:sz w:val="32"/>
        </w:rPr>
        <w:t>用设备购置</w:t>
      </w:r>
      <w:r>
        <w:rPr>
          <w:rFonts w:hint="eastAsia"/>
          <w:spacing w:val="-34"/>
          <w:sz w:val="32"/>
        </w:rPr>
        <w:t>、</w:t>
      </w:r>
      <w:r>
        <w:rPr>
          <w:rFonts w:hint="eastAsia"/>
          <w:spacing w:val="-1"/>
          <w:sz w:val="32"/>
        </w:rPr>
        <w:t>大型修缮</w:t>
      </w:r>
      <w:r>
        <w:rPr>
          <w:rFonts w:hint="eastAsia"/>
          <w:spacing w:val="-34"/>
          <w:sz w:val="32"/>
        </w:rPr>
        <w:t>、</w:t>
      </w:r>
      <w:r>
        <w:rPr>
          <w:rFonts w:hint="eastAsia"/>
          <w:sz w:val="32"/>
        </w:rPr>
        <w:t>信</w:t>
      </w:r>
      <w:r>
        <w:rPr>
          <w:rFonts w:hint="eastAsia"/>
          <w:spacing w:val="-1"/>
          <w:sz w:val="32"/>
        </w:rPr>
        <w:t>息网络及软件购置更新、其他资本性支出</w:t>
      </w:r>
      <w:r>
        <w:rPr>
          <w:rFonts w:hint="eastAsia" w:ascii="仿宋_GB2312" w:hAnsi="宋体" w:eastAsia="仿宋_GB2312" w:cs="仿宋_GB2312"/>
          <w:sz w:val="32"/>
          <w:szCs w:val="32"/>
        </w:rPr>
        <w:t>。</w:t>
      </w: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关于一般公共预算财政拨款“三公”经费支出决算情况说明</w:t>
      </w:r>
    </w:p>
    <w:p>
      <w:pPr>
        <w:numPr>
          <w:ilvl w:val="0"/>
          <w:numId w:val="6"/>
        </w:numPr>
        <w:kinsoku w:val="0"/>
        <w:overflowPunct w:val="0"/>
        <w:autoSpaceDE w:val="0"/>
        <w:autoSpaceDN w:val="0"/>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“三公”经费财政拨款支出决算总体情况说明。</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年度“三公”经费财政拨款支出预算为</w:t>
      </w:r>
      <w:r>
        <w:rPr>
          <w:rFonts w:hint="eastAsia" w:ascii="仿宋_GB2312" w:hAnsi="宋体" w:eastAsia="仿宋_GB2312" w:cs="仿宋_GB2312"/>
          <w:sz w:val="32"/>
          <w:szCs w:val="32"/>
          <w:lang w:val="en-US" w:eastAsia="zh-CN"/>
        </w:rPr>
        <w:t>0.65</w:t>
      </w:r>
      <w:r>
        <w:rPr>
          <w:rFonts w:hint="eastAsia" w:ascii="仿宋_GB2312" w:hAnsi="宋体" w:eastAsia="仿宋_GB2312" w:cs="仿宋_GB2312"/>
          <w:sz w:val="32"/>
          <w:szCs w:val="32"/>
        </w:rPr>
        <w:t>万元，支出决算为</w:t>
      </w:r>
      <w:r>
        <w:rPr>
          <w:rFonts w:hint="eastAsia" w:ascii="仿宋_GB2312" w:hAnsi="宋体" w:eastAsia="仿宋_GB2312" w:cs="仿宋_GB2312"/>
          <w:sz w:val="32"/>
          <w:szCs w:val="32"/>
          <w:lang w:val="en-US" w:eastAsia="zh-CN"/>
        </w:rPr>
        <w:t>0.01</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2</w:t>
      </w:r>
      <w:r>
        <w:rPr>
          <w:rFonts w:ascii="仿宋_GB2312" w:hAnsi="宋体" w:eastAsia="仿宋_GB2312" w:cs="仿宋_GB2312"/>
          <w:sz w:val="32"/>
          <w:szCs w:val="32"/>
        </w:rPr>
        <w:t>%</w:t>
      </w:r>
      <w:r>
        <w:rPr>
          <w:rFonts w:hint="eastAsia" w:ascii="仿宋_GB2312" w:hAnsi="宋体" w:eastAsia="仿宋_GB2312" w:cs="仿宋_GB2312"/>
          <w:sz w:val="32"/>
          <w:szCs w:val="32"/>
        </w:rPr>
        <w:t>，其中：公务接待费支出决算为</w:t>
      </w:r>
      <w:r>
        <w:rPr>
          <w:rFonts w:hint="eastAsia" w:ascii="仿宋_GB2312" w:hAnsi="宋体" w:eastAsia="仿宋_GB2312" w:cs="仿宋_GB2312"/>
          <w:sz w:val="32"/>
          <w:szCs w:val="32"/>
          <w:lang w:val="en-US" w:eastAsia="zh-CN"/>
        </w:rPr>
        <w:t>0.01</w:t>
      </w:r>
      <w:r>
        <w:rPr>
          <w:rFonts w:hint="eastAsia"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2</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年度“三公”经费财政拨款支出决算数比</w:t>
      </w:r>
      <w:r>
        <w:rPr>
          <w:rFonts w:ascii="仿宋_GB2312" w:hAnsi="宋体" w:eastAsia="仿宋_GB2312" w:cs="仿宋_GB2312"/>
          <w:sz w:val="32"/>
          <w:szCs w:val="32"/>
        </w:rPr>
        <w:t>2015</w:t>
      </w:r>
      <w:r>
        <w:rPr>
          <w:rFonts w:hint="eastAsia" w:ascii="仿宋_GB2312" w:hAnsi="宋体" w:eastAsia="仿宋_GB2312" w:cs="仿宋_GB2312"/>
          <w:sz w:val="32"/>
          <w:szCs w:val="32"/>
        </w:rPr>
        <w:t>年减少</w:t>
      </w:r>
      <w:r>
        <w:rPr>
          <w:rFonts w:hint="eastAsia" w:ascii="仿宋_GB2312" w:hAnsi="宋体" w:eastAsia="仿宋_GB2312" w:cs="仿宋_GB2312"/>
          <w:sz w:val="32"/>
          <w:szCs w:val="32"/>
          <w:lang w:val="en-US" w:eastAsia="zh-CN"/>
        </w:rPr>
        <w:t>2.74</w:t>
      </w:r>
      <w:r>
        <w:rPr>
          <w:rFonts w:hint="eastAsia" w:ascii="仿宋_GB2312" w:hAnsi="宋体" w:eastAsia="仿宋_GB2312" w:cs="仿宋_GB2312"/>
          <w:sz w:val="32"/>
          <w:szCs w:val="32"/>
        </w:rPr>
        <w:t>万元，下降</w:t>
      </w:r>
      <w:r>
        <w:rPr>
          <w:rFonts w:hint="eastAsia" w:ascii="仿宋_GB2312" w:hAnsi="宋体" w:eastAsia="仿宋_GB2312" w:cs="仿宋_GB2312"/>
          <w:sz w:val="32"/>
          <w:szCs w:val="32"/>
          <w:lang w:val="en-US" w:eastAsia="zh-CN"/>
        </w:rPr>
        <w:t>99.6</w:t>
      </w:r>
      <w:r>
        <w:rPr>
          <w:rFonts w:ascii="仿宋_GB2312" w:hAnsi="宋体" w:eastAsia="仿宋_GB2312" w:cs="仿宋_GB2312"/>
          <w:sz w:val="32"/>
          <w:szCs w:val="32"/>
        </w:rPr>
        <w:t>%</w:t>
      </w:r>
      <w:r>
        <w:rPr>
          <w:rFonts w:hint="eastAsia" w:ascii="仿宋_GB2312" w:hAnsi="宋体" w:eastAsia="仿宋_GB2312" w:cs="仿宋_GB2312"/>
          <w:sz w:val="32"/>
          <w:szCs w:val="32"/>
        </w:rPr>
        <w:t>，其中：公务接待费支出决算增加减少</w:t>
      </w:r>
      <w:r>
        <w:rPr>
          <w:rFonts w:hint="eastAsia" w:ascii="仿宋_GB2312" w:hAnsi="宋体" w:eastAsia="仿宋_GB2312" w:cs="仿宋_GB2312"/>
          <w:sz w:val="32"/>
          <w:szCs w:val="32"/>
          <w:lang w:val="en-US" w:eastAsia="zh-CN"/>
        </w:rPr>
        <w:t>2.74</w:t>
      </w:r>
      <w:r>
        <w:rPr>
          <w:rFonts w:hint="eastAsia" w:ascii="仿宋_GB2312" w:hAnsi="宋体" w:eastAsia="仿宋_GB2312" w:cs="仿宋_GB2312"/>
          <w:sz w:val="32"/>
          <w:szCs w:val="32"/>
        </w:rPr>
        <w:t>万元，下降</w:t>
      </w:r>
      <w:r>
        <w:rPr>
          <w:rFonts w:hint="eastAsia" w:ascii="仿宋_GB2312" w:hAnsi="宋体" w:eastAsia="仿宋_GB2312" w:cs="仿宋_GB2312"/>
          <w:sz w:val="32"/>
          <w:szCs w:val="32"/>
          <w:lang w:val="en-US" w:eastAsia="zh-CN"/>
        </w:rPr>
        <w:t>99.6</w:t>
      </w:r>
      <w:r>
        <w:rPr>
          <w:rFonts w:ascii="仿宋_GB2312" w:hAnsi="宋体" w:eastAsia="仿宋_GB2312" w:cs="仿宋_GB2312"/>
          <w:sz w:val="32"/>
          <w:szCs w:val="32"/>
        </w:rPr>
        <w:t>%</w:t>
      </w:r>
      <w:r>
        <w:rPr>
          <w:rFonts w:hint="eastAsia" w:ascii="仿宋_GB2312" w:hAnsi="宋体" w:eastAsia="仿宋_GB2312" w:cs="仿宋_GB2312"/>
          <w:sz w:val="32"/>
          <w:szCs w:val="32"/>
        </w:rPr>
        <w:t>。公务接待费支出减少的主要原因</w:t>
      </w:r>
      <w:r>
        <w:rPr>
          <w:rFonts w:hint="eastAsia" w:ascii="仿宋_GB2312" w:hAnsi="宋体" w:eastAsia="仿宋_GB2312" w:cs="仿宋_GB2312"/>
          <w:sz w:val="32"/>
          <w:szCs w:val="32"/>
          <w:lang w:eastAsia="zh-CN"/>
        </w:rPr>
        <w:t>是响应国家八项规定</w:t>
      </w:r>
      <w:r>
        <w:rPr>
          <w:rFonts w:hint="eastAsia" w:ascii="仿宋_GB2312" w:hAnsi="宋体" w:eastAsia="仿宋_GB2312" w:cs="仿宋_GB2312"/>
          <w:sz w:val="32"/>
          <w:szCs w:val="32"/>
        </w:rPr>
        <w:t>。</w:t>
      </w:r>
    </w:p>
    <w:p>
      <w:pPr>
        <w:numPr>
          <w:ilvl w:val="0"/>
          <w:numId w:val="6"/>
        </w:numPr>
        <w:kinsoku w:val="0"/>
        <w:overflowPunct w:val="0"/>
        <w:autoSpaceDE w:val="0"/>
        <w:autoSpaceDN w:val="0"/>
        <w:adjustRightInd w:val="0"/>
        <w:snapToGrid w:val="0"/>
        <w:spacing w:line="360" w:lineRule="auto"/>
        <w:ind w:firstLine="640" w:firstLineChars="200"/>
        <w:rPr>
          <w:rFonts w:ascii="楷体_GB2312" w:hAnsi="楷体_GB2312" w:eastAsia="楷体_GB2312" w:cs="Times New Roman"/>
          <w:sz w:val="32"/>
          <w:szCs w:val="32"/>
        </w:rPr>
      </w:pPr>
      <w:r>
        <w:rPr>
          <w:rFonts w:hint="eastAsia" w:ascii="楷体_GB2312" w:hAnsi="楷体_GB2312" w:eastAsia="楷体_GB2312" w:cs="楷体_GB2312"/>
          <w:sz w:val="32"/>
          <w:szCs w:val="32"/>
        </w:rPr>
        <w:t>“三公”经费财政拨款支出决算具体情况说明。</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年度“三公”经费财政拨款支出决算中</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公务接待费支出决算</w:t>
      </w:r>
      <w:r>
        <w:rPr>
          <w:rFonts w:hint="eastAsia" w:ascii="仿宋_GB2312" w:hAnsi="宋体" w:eastAsia="仿宋_GB2312" w:cs="仿宋_GB2312"/>
          <w:sz w:val="32"/>
          <w:szCs w:val="32"/>
          <w:lang w:val="en-US" w:eastAsia="zh-CN"/>
        </w:rPr>
        <w:t>0.01</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。具体情况如下：因公出国（境）费0万元，完成年初预算0万元</w:t>
      </w:r>
      <w:bookmarkStart w:id="0" w:name="_GoBack"/>
      <w:bookmarkEnd w:id="0"/>
      <w:r>
        <w:rPr>
          <w:rFonts w:hint="eastAsia" w:ascii="仿宋_GB2312" w:hAnsi="宋体" w:eastAsia="仿宋_GB2312" w:cs="仿宋_GB2312"/>
          <w:sz w:val="32"/>
          <w:szCs w:val="32"/>
        </w:rPr>
        <w:t>的 0%</w:t>
      </w:r>
      <w:r>
        <w:rPr>
          <w:rFonts w:hint="eastAsia" w:ascii="仿宋_GB2312" w:hAnsi="宋体" w:eastAsia="仿宋_GB2312" w:cs="仿宋_GB2312"/>
          <w:sz w:val="32"/>
          <w:szCs w:val="32"/>
          <w:lang w:val="en-US" w:eastAsia="zh-CN"/>
        </w:rPr>
        <w:t>,出国0人次</w:t>
      </w:r>
      <w:r>
        <w:rPr>
          <w:rFonts w:hint="eastAsia" w:ascii="仿宋_GB2312" w:hAnsi="宋体" w:eastAsia="仿宋_GB2312" w:cs="仿宋_GB2312"/>
          <w:sz w:val="32"/>
          <w:szCs w:val="32"/>
        </w:rPr>
        <w:t>。共接待国内来访团组</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个、来访人员</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人次（不包括陪同人员）。</w:t>
      </w:r>
      <w:r>
        <w:rPr>
          <w:rFonts w:hint="eastAsia" w:ascii="仿宋_GB2312" w:hAnsi="宋体" w:eastAsia="仿宋_GB2312" w:cs="仿宋_GB2312"/>
          <w:sz w:val="32"/>
          <w:szCs w:val="32"/>
          <w:lang w:eastAsia="zh-CN"/>
        </w:rPr>
        <w:t>公务用车购置费</w:t>
      </w:r>
      <w:r>
        <w:rPr>
          <w:rFonts w:hint="eastAsia" w:ascii="仿宋_GB2312" w:hAnsi="宋体" w:eastAsia="仿宋_GB2312" w:cs="仿宋_GB2312"/>
          <w:sz w:val="32"/>
          <w:szCs w:val="32"/>
          <w:lang w:val="en-US" w:eastAsia="zh-CN"/>
        </w:rPr>
        <w:t>0元。公务车运行维护费0元。</w:t>
      </w:r>
    </w:p>
    <w:p>
      <w:pPr>
        <w:numPr>
          <w:ilvl w:val="0"/>
          <w:numId w:val="4"/>
        </w:num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sz w:val="32"/>
          <w:szCs w:val="32"/>
        </w:rPr>
        <w:t>其他重要事项的情况说明</w:t>
      </w:r>
    </w:p>
    <w:p>
      <w:pPr>
        <w:numPr>
          <w:ilvl w:val="0"/>
          <w:numId w:val="7"/>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机关运行经费支出情况。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年度机关运行经费支出</w:t>
      </w:r>
      <w:r>
        <w:rPr>
          <w:rFonts w:hint="eastAsia" w:ascii="仿宋_GB2312" w:hAnsi="宋体" w:eastAsia="仿宋_GB2312" w:cs="仿宋_GB2312"/>
          <w:sz w:val="32"/>
          <w:szCs w:val="32"/>
          <w:lang w:val="en-US" w:eastAsia="zh-CN"/>
        </w:rPr>
        <w:t>127.03</w:t>
      </w:r>
      <w:r>
        <w:rPr>
          <w:rFonts w:hint="eastAsia" w:ascii="仿宋_GB2312" w:hAnsi="宋体" w:eastAsia="仿宋_GB2312" w:cs="仿宋_GB2312"/>
          <w:sz w:val="32"/>
          <w:szCs w:val="32"/>
        </w:rPr>
        <w:t>万元，比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hint="eastAsia" w:ascii="仿宋_GB2312" w:hAnsi="宋体" w:eastAsia="仿宋_GB2312" w:cs="仿宋_GB2312"/>
          <w:sz w:val="32"/>
          <w:szCs w:val="32"/>
          <w:lang w:val="en-US" w:eastAsia="zh-CN"/>
        </w:rPr>
        <w:t>87.68</w:t>
      </w:r>
      <w:r>
        <w:rPr>
          <w:rFonts w:hint="eastAsia" w:ascii="仿宋_GB2312" w:hAnsi="宋体" w:eastAsia="仿宋_GB2312" w:cs="仿宋_GB2312"/>
          <w:sz w:val="32"/>
          <w:szCs w:val="32"/>
        </w:rPr>
        <w:t>万元，增长</w:t>
      </w:r>
      <w:r>
        <w:rPr>
          <w:rFonts w:hint="eastAsia" w:ascii="仿宋_GB2312" w:hAnsi="宋体" w:eastAsia="仿宋_GB2312" w:cs="仿宋_GB2312"/>
          <w:sz w:val="32"/>
          <w:szCs w:val="32"/>
          <w:lang w:val="en-US" w:eastAsia="zh-CN"/>
        </w:rPr>
        <w:t>69</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7"/>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政府采购支出情况。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年度政府采购支出总额</w:t>
      </w:r>
      <w:r>
        <w:rPr>
          <w:rFonts w:hint="eastAsia" w:ascii="仿宋_GB2312" w:hAnsi="宋体" w:eastAsia="仿宋_GB2312" w:cs="仿宋_GB2312"/>
          <w:sz w:val="32"/>
          <w:szCs w:val="32"/>
          <w:lang w:val="en-US" w:eastAsia="zh-CN"/>
        </w:rPr>
        <w:t>0.72</w:t>
      </w:r>
      <w:r>
        <w:rPr>
          <w:rFonts w:hint="eastAsia" w:ascii="仿宋_GB2312" w:hAnsi="宋体" w:eastAsia="仿宋_GB2312" w:cs="仿宋_GB2312"/>
          <w:sz w:val="32"/>
          <w:szCs w:val="32"/>
        </w:rPr>
        <w:t>万元，其中：政府采购货物支出</w:t>
      </w:r>
      <w:r>
        <w:rPr>
          <w:rFonts w:hint="eastAsia" w:ascii="仿宋_GB2312" w:hAnsi="宋体" w:eastAsia="仿宋_GB2312" w:cs="仿宋_GB2312"/>
          <w:sz w:val="32"/>
          <w:szCs w:val="32"/>
          <w:lang w:val="en-US" w:eastAsia="zh-CN"/>
        </w:rPr>
        <w:t>0.72</w:t>
      </w:r>
      <w:r>
        <w:rPr>
          <w:rFonts w:hint="eastAsia" w:ascii="仿宋_GB2312" w:hAnsi="宋体" w:eastAsia="仿宋_GB2312" w:cs="仿宋_GB2312"/>
          <w:sz w:val="32"/>
          <w:szCs w:val="32"/>
        </w:rPr>
        <w:t>万元。</w:t>
      </w:r>
    </w:p>
    <w:p>
      <w:pPr>
        <w:numPr>
          <w:ilvl w:val="0"/>
          <w:numId w:val="7"/>
        </w:numPr>
        <w:kinsoku w:val="0"/>
        <w:overflowPunct w:val="0"/>
        <w:autoSpaceDE w:val="0"/>
        <w:autoSpaceDN w:val="0"/>
        <w:adjustRightInd w:val="0"/>
        <w:snapToGrid w:val="0"/>
        <w:spacing w:line="360" w:lineRule="auto"/>
        <w:ind w:firstLine="640" w:firstLineChars="200"/>
        <w:rPr>
          <w:rFonts w:ascii="楷体_GB2312" w:hAnsi="Times New Roman" w:eastAsia="楷体_GB2312" w:cs="Times New Roman"/>
          <w:kern w:val="0"/>
          <w:sz w:val="32"/>
          <w:szCs w:val="32"/>
        </w:rPr>
      </w:pPr>
      <w:r>
        <w:rPr>
          <w:rFonts w:hint="eastAsia" w:ascii="楷体_GB2312" w:hAnsi="Times New Roman" w:eastAsia="楷体_GB2312" w:cs="楷体_GB2312"/>
          <w:kern w:val="0"/>
          <w:sz w:val="32"/>
          <w:szCs w:val="32"/>
        </w:rPr>
        <w:t>国有资产占用情况。</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年期末，</w:t>
      </w:r>
      <w:r>
        <w:rPr>
          <w:rFonts w:hint="eastAsia" w:ascii="仿宋_GB2312" w:hAnsi="宋体" w:eastAsia="仿宋_GB2312" w:cs="仿宋_GB2312"/>
          <w:sz w:val="32"/>
          <w:szCs w:val="32"/>
          <w:lang w:eastAsia="zh-CN"/>
        </w:rPr>
        <w:t>区安监局</w:t>
      </w:r>
      <w:r>
        <w:rPr>
          <w:rFonts w:hint="eastAsia" w:ascii="仿宋_GB2312" w:hAnsi="宋体" w:eastAsia="仿宋_GB2312" w:cs="仿宋_GB2312"/>
          <w:sz w:val="32"/>
          <w:szCs w:val="32"/>
        </w:rPr>
        <w:t>共有车辆</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辆，</w:t>
      </w:r>
      <w:r>
        <w:rPr>
          <w:rFonts w:hint="eastAsia" w:ascii="仿宋_GB2312" w:hAnsi="宋体" w:eastAsia="仿宋_GB2312" w:cs="仿宋_GB2312"/>
          <w:sz w:val="32"/>
          <w:szCs w:val="32"/>
          <w:lang w:eastAsia="zh-CN"/>
        </w:rPr>
        <w:t>已由区车改办进行了封存拍卖报废</w:t>
      </w:r>
      <w:r>
        <w:rPr>
          <w:rFonts w:hint="eastAsia" w:ascii="仿宋_GB2312" w:hAnsi="宋体" w:eastAsia="仿宋_GB2312" w:cs="仿宋_GB2312"/>
          <w:sz w:val="32"/>
          <w:szCs w:val="32"/>
        </w:rPr>
        <w:t>。</w:t>
      </w: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pPr>
    </w:p>
    <w:p>
      <w:p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32"/>
          <w:szCs w:val="32"/>
        </w:rPr>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pPr>
    </w:p>
    <w:p>
      <w:pPr>
        <w:numPr>
          <w:ilvl w:val="0"/>
          <w:numId w:val="8"/>
        </w:numPr>
        <w:jc w:val="center"/>
        <w:outlineLvl w:val="0"/>
        <w:rPr>
          <w:rFonts w:hint="eastAsia" w:ascii="隶书" w:hAnsi="隶书" w:eastAsia="隶书" w:cs="隶书"/>
          <w:sz w:val="48"/>
          <w:szCs w:val="48"/>
        </w:rPr>
      </w:pPr>
      <w:r>
        <w:rPr>
          <w:rFonts w:hint="eastAsia" w:ascii="隶书" w:hAnsi="隶书" w:eastAsia="隶书" w:cs="隶书"/>
          <w:sz w:val="48"/>
          <w:szCs w:val="48"/>
        </w:rPr>
        <w:t>分　　名词解释</w:t>
      </w:r>
    </w:p>
    <w:p>
      <w:pPr>
        <w:numPr>
          <w:ilvl w:val="0"/>
          <w:numId w:val="0"/>
        </w:numPr>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财政拨款收入：</w:t>
      </w:r>
      <w:r>
        <w:rPr>
          <w:rFonts w:hint="eastAsia" w:ascii="仿宋_GB2312" w:hAnsi="仿宋_GB2312" w:eastAsia="仿宋_GB2312" w:cs="仿宋_GB2312"/>
          <w:sz w:val="32"/>
          <w:szCs w:val="32"/>
          <w:lang w:val="en-US" w:eastAsia="zh-CN"/>
        </w:rPr>
        <w:t>指区财政当年拨付的资金。</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b/>
          <w:bCs/>
          <w:sz w:val="32"/>
          <w:szCs w:val="32"/>
          <w:lang w:val="en-US" w:eastAsia="zh-CN"/>
        </w:rPr>
        <w:t>基本支出：</w:t>
      </w:r>
      <w:r>
        <w:rPr>
          <w:rFonts w:hint="eastAsia" w:ascii="仿宋_GB2312" w:hAnsi="仿宋_GB2312" w:eastAsia="仿宋_GB2312" w:cs="仿宋_GB2312"/>
          <w:sz w:val="32"/>
          <w:szCs w:val="32"/>
          <w:lang w:val="en-US" w:eastAsia="zh-CN"/>
        </w:rPr>
        <w:t>指部门为保障其机构正常运转、完成日常工作任务而编制的年度基本支出计划，包括人员经费和公用经费两部分。</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b/>
          <w:bCs/>
          <w:sz w:val="32"/>
          <w:szCs w:val="32"/>
          <w:lang w:val="en-US" w:eastAsia="zh-CN"/>
        </w:rPr>
        <w:t>项目支出：</w:t>
      </w:r>
      <w:r>
        <w:rPr>
          <w:rFonts w:hint="eastAsia" w:ascii="仿宋_GB2312" w:hAnsi="仿宋_GB2312" w:eastAsia="仿宋_GB2312" w:cs="仿宋_GB2312"/>
          <w:sz w:val="32"/>
          <w:szCs w:val="32"/>
          <w:lang w:val="en-US" w:eastAsia="zh-CN"/>
        </w:rPr>
        <w:t>指部门为完成其特定的行政工作任务或事业发展目标，在基本支出预算之外编制的年度项目支出计划。</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b/>
          <w:bCs/>
          <w:sz w:val="32"/>
          <w:szCs w:val="32"/>
          <w:lang w:val="en-US" w:eastAsia="zh-CN"/>
        </w:rPr>
        <w:t>“三公”经费:</w:t>
      </w:r>
      <w:r>
        <w:rPr>
          <w:rFonts w:hint="eastAsia" w:ascii="仿宋_GB2312" w:hAnsi="仿宋_GB2312" w:eastAsia="仿宋_GB2312" w:cs="仿宋_GB2312"/>
          <w:sz w:val="32"/>
          <w:szCs w:val="32"/>
          <w:lang w:val="en-US" w:eastAsia="zh-CN"/>
        </w:rPr>
        <w:t>包括因公出国（境）费、公务接待费和公务用车购置及运行费。因公出国（境）费，指单位工作人员公务出国（境）的住宿费、旅费、伙食补助费、杂费、培训费等支出。公务接待费，指单位按规定开支的各类公务接待（含外宾接待）支出。公务用车购置及运行费，指单位公务用车购置费及租用费、燃料费、维修费、过路过桥费、保险费、安全奖励费用等支出，公务用车指用于履行公务的机动车辆，包括领导干部专车、一般公务用车和执法执勤用车。</w:t>
      </w:r>
    </w:p>
    <w:p>
      <w:pPr>
        <w:kinsoku w:val="0"/>
        <w:overflowPunct w:val="0"/>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b/>
          <w:bCs/>
          <w:sz w:val="32"/>
          <w:szCs w:val="32"/>
        </w:rPr>
        <w:t>机关运行经费：</w:t>
      </w:r>
      <w:r>
        <w:rPr>
          <w:rFonts w:hint="eastAsia" w:ascii="仿宋_GB2312" w:hAnsi="仿宋_GB2312" w:eastAsia="仿宋_GB2312" w:cs="仿宋_GB2312"/>
          <w:sz w:val="32"/>
          <w:szCs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lang w:val="en-US" w:eastAsia="zh-CN"/>
        </w:rPr>
      </w:pPr>
    </w:p>
    <w:sectPr>
      <w:pgSz w:w="11906" w:h="16838"/>
      <w:pgMar w:top="1440" w:right="1531" w:bottom="1440" w:left="1587" w:header="850" w:footer="992" w:gutter="0"/>
      <w:pgBorders>
        <w:top w:val="none" w:sz="0" w:space="0"/>
        <w:left w:val="none" w:sz="0" w:space="0"/>
        <w:bottom w:val="none" w:sz="0" w:space="0"/>
        <w:right w:val="none" w:sz="0" w:space="0"/>
      </w:pgBorders>
      <w:pgNumType w:fmt="numberInDash"/>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简体">
    <w:altName w:val="微软雅黑"/>
    <w:panose1 w:val="03000509000000000000"/>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altName w:val="微软雅黑"/>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MS PMincho">
    <w:panose1 w:val="02020600040205080304"/>
    <w:charset w:val="80"/>
    <w:family w:val="roman"/>
    <w:pitch w:val="default"/>
    <w:sig w:usb0="A00002BF" w:usb1="68C7FCFB" w:usb2="00000010" w:usb3="00000000" w:csb0="4002009F" w:csb1="DFD70000"/>
  </w:font>
  <w:font w:name="华文中宋">
    <w:altName w:val="宋体"/>
    <w:panose1 w:val="020106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snapToGrid w:val="0"/>
                  <w:rPr>
                    <w:rFonts w:cs="Times New Roman"/>
                    <w:sz w:val="18"/>
                    <w:szCs w:val="18"/>
                  </w:rPr>
                </w:pPr>
                <w:r>
                  <w:fldChar w:fldCharType="begin"/>
                </w:r>
                <w:r>
                  <w:instrText xml:space="preserve"> PAGE  \* MERGEFORMAT </w:instrText>
                </w:r>
                <w:r>
                  <w:fldChar w:fldCharType="separate"/>
                </w:r>
                <w:r>
                  <w:rPr>
                    <w:sz w:val="18"/>
                    <w:szCs w:val="18"/>
                  </w:rPr>
                  <w:t>- 26 -</w:t>
                </w:r>
                <w:r>
                  <w:rPr>
                    <w:sz w:val="18"/>
                    <w:szCs w:val="1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overflowPunct w:val="0"/>
      <w:spacing w:line="200" w:lineRule="exact"/>
      <w:rPr>
        <w:rFonts w:hint="default"/>
        <w:sz w:val="20"/>
      </w:rPr>
    </w:pPr>
    <w:r>
      <w:rPr>
        <w:rFonts w:hint="default"/>
        <w:sz w:val="20"/>
      </w:rPr>
      <w:pict>
        <v:shape id="文本框 19" o:spid="_x0000_s4103" o:spt="202" type="#_x0000_t202" style="position:absolute;left:0pt;margin-left:212.5pt;margin-top:0pt;height:144pt;width:144pt;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Times New Roman" w:hAnsi="Times New Roman" w:eastAsia="宋体"/>
                    <w:sz w:val="18"/>
                    <w:lang w:eastAsia="zh-CN"/>
                  </w:rPr>
                </w:pPr>
                <w:r>
                  <w:rPr>
                    <w:rFonts w:hint="default"/>
                    <w:sz w:val="18"/>
                    <w:lang w:eastAsia="zh-CN"/>
                  </w:rPr>
                  <w:fldChar w:fldCharType="begin"/>
                </w:r>
                <w:r>
                  <w:rPr>
                    <w:rFonts w:hint="default"/>
                    <w:sz w:val="18"/>
                    <w:lang w:eastAsia="zh-CN"/>
                  </w:rPr>
                  <w:instrText xml:space="preserve"> PAGE  \* MERGEFORMAT </w:instrText>
                </w:r>
                <w:r>
                  <w:rPr>
                    <w:rFonts w:hint="default"/>
                    <w:sz w:val="18"/>
                    <w:lang w:eastAsia="zh-CN"/>
                  </w:rPr>
                  <w:fldChar w:fldCharType="separate"/>
                </w:r>
                <w:r>
                  <w:rPr>
                    <w:rFonts w:hint="default"/>
                    <w:sz w:val="18"/>
                  </w:rPr>
                  <w:t>2</w:t>
                </w:r>
                <w:r>
                  <w:rPr>
                    <w:rFonts w:hint="default"/>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overflowPunct w:val="0"/>
      <w:spacing w:line="200" w:lineRule="exact"/>
      <w:rPr>
        <w:rFonts w:hint="default"/>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abstractNum w:abstractNumId="1">
    <w:nsid w:val="5971BF59"/>
    <w:multiLevelType w:val="singleLevel"/>
    <w:tmpl w:val="5971BF59"/>
    <w:lvl w:ilvl="0" w:tentative="0">
      <w:start w:val="1"/>
      <w:numFmt w:val="chineseCounting"/>
      <w:suff w:val="nothing"/>
      <w:lvlText w:val="%1、"/>
      <w:lvlJc w:val="left"/>
      <w:pPr>
        <w:ind w:firstLine="420"/>
      </w:pPr>
      <w:rPr>
        <w:rFonts w:hint="eastAsia"/>
      </w:rPr>
    </w:lvl>
  </w:abstractNum>
  <w:abstractNum w:abstractNumId="2">
    <w:nsid w:val="5971C193"/>
    <w:multiLevelType w:val="singleLevel"/>
    <w:tmpl w:val="5971C193"/>
    <w:lvl w:ilvl="0" w:tentative="0">
      <w:start w:val="2"/>
      <w:numFmt w:val="chineseCounting"/>
      <w:suff w:val="nothing"/>
      <w:lvlText w:val="%1、"/>
      <w:lvlJc w:val="left"/>
    </w:lvl>
  </w:abstractNum>
  <w:abstractNum w:abstractNumId="3">
    <w:nsid w:val="5971DAC2"/>
    <w:multiLevelType w:val="singleLevel"/>
    <w:tmpl w:val="5971DAC2"/>
    <w:lvl w:ilvl="0" w:tentative="0">
      <w:start w:val="1"/>
      <w:numFmt w:val="chineseCounting"/>
      <w:suff w:val="nothing"/>
      <w:lvlText w:val="%1、"/>
      <w:lvlJc w:val="left"/>
      <w:pPr>
        <w:ind w:firstLine="420"/>
      </w:pPr>
      <w:rPr>
        <w:rFonts w:hint="eastAsia"/>
      </w:rPr>
    </w:lvl>
  </w:abstractNum>
  <w:abstractNum w:abstractNumId="4">
    <w:nsid w:val="5971DBDD"/>
    <w:multiLevelType w:val="singleLevel"/>
    <w:tmpl w:val="5971DBDD"/>
    <w:lvl w:ilvl="0" w:tentative="0">
      <w:start w:val="1"/>
      <w:numFmt w:val="chineseCounting"/>
      <w:suff w:val="nothing"/>
      <w:lvlText w:val="（%1）"/>
      <w:lvlJc w:val="left"/>
      <w:pPr>
        <w:ind w:firstLine="420"/>
      </w:pPr>
      <w:rPr>
        <w:rFonts w:hint="eastAsia"/>
      </w:rPr>
    </w:lvl>
  </w:abstractNum>
  <w:abstractNum w:abstractNumId="5">
    <w:nsid w:val="5971E093"/>
    <w:multiLevelType w:val="singleLevel"/>
    <w:tmpl w:val="5971E093"/>
    <w:lvl w:ilvl="0" w:tentative="0">
      <w:start w:val="1"/>
      <w:numFmt w:val="chineseCounting"/>
      <w:suff w:val="nothing"/>
      <w:lvlText w:val="（%1）"/>
      <w:lvlJc w:val="left"/>
      <w:pPr>
        <w:ind w:firstLine="420"/>
      </w:pPr>
      <w:rPr>
        <w:rFonts w:hint="eastAsia"/>
      </w:rPr>
    </w:lvl>
  </w:abstractNum>
  <w:abstractNum w:abstractNumId="6">
    <w:nsid w:val="5971EDEF"/>
    <w:multiLevelType w:val="singleLevel"/>
    <w:tmpl w:val="5971EDEF"/>
    <w:lvl w:ilvl="0" w:tentative="0">
      <w:start w:val="1"/>
      <w:numFmt w:val="chineseCounting"/>
      <w:suff w:val="nothing"/>
      <w:lvlText w:val="（%1）"/>
      <w:lvlJc w:val="left"/>
      <w:pPr>
        <w:ind w:firstLine="420"/>
      </w:pPr>
      <w:rPr>
        <w:rFonts w:hint="eastAsia"/>
      </w:rPr>
    </w:lvl>
  </w:abstractNum>
  <w:abstractNum w:abstractNumId="7">
    <w:nsid w:val="5A0D3DBA"/>
    <w:multiLevelType w:val="singleLevel"/>
    <w:tmpl w:val="5A0D3DBA"/>
    <w:lvl w:ilvl="0" w:tentative="0">
      <w:start w:val="4"/>
      <w:numFmt w:val="chineseCounting"/>
      <w:suff w:val="nothing"/>
      <w:lvlText w:val="第%1部"/>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HorizontalSpacing w:val="210"/>
  <w:drawingGridVerticalSpacing w:val="159"/>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B5A03"/>
    <w:rsid w:val="001150B0"/>
    <w:rsid w:val="00172A27"/>
    <w:rsid w:val="002511EF"/>
    <w:rsid w:val="00271709"/>
    <w:rsid w:val="002929B4"/>
    <w:rsid w:val="0088481D"/>
    <w:rsid w:val="009108DE"/>
    <w:rsid w:val="00B458CF"/>
    <w:rsid w:val="00CD71F9"/>
    <w:rsid w:val="00DF7441"/>
    <w:rsid w:val="00E30287"/>
    <w:rsid w:val="01B2078C"/>
    <w:rsid w:val="02A26B63"/>
    <w:rsid w:val="04453648"/>
    <w:rsid w:val="05DB00B9"/>
    <w:rsid w:val="07DB6970"/>
    <w:rsid w:val="09BB2134"/>
    <w:rsid w:val="09DC6EF9"/>
    <w:rsid w:val="0CA434B9"/>
    <w:rsid w:val="0E4C156E"/>
    <w:rsid w:val="10BD4691"/>
    <w:rsid w:val="11585E8B"/>
    <w:rsid w:val="135044AC"/>
    <w:rsid w:val="13636041"/>
    <w:rsid w:val="15202935"/>
    <w:rsid w:val="152132E0"/>
    <w:rsid w:val="15492582"/>
    <w:rsid w:val="15855876"/>
    <w:rsid w:val="185C345D"/>
    <w:rsid w:val="18F44D57"/>
    <w:rsid w:val="190E3692"/>
    <w:rsid w:val="1C55153B"/>
    <w:rsid w:val="1D415527"/>
    <w:rsid w:val="1E7D3B34"/>
    <w:rsid w:val="208D5AE4"/>
    <w:rsid w:val="20C2021B"/>
    <w:rsid w:val="22A51050"/>
    <w:rsid w:val="2339754B"/>
    <w:rsid w:val="242F009C"/>
    <w:rsid w:val="26666114"/>
    <w:rsid w:val="27FE208C"/>
    <w:rsid w:val="283D43BA"/>
    <w:rsid w:val="28830B89"/>
    <w:rsid w:val="29B70F08"/>
    <w:rsid w:val="2B227501"/>
    <w:rsid w:val="2BA4769A"/>
    <w:rsid w:val="2CD06EF4"/>
    <w:rsid w:val="2EBE3174"/>
    <w:rsid w:val="2F335194"/>
    <w:rsid w:val="302A4864"/>
    <w:rsid w:val="30963758"/>
    <w:rsid w:val="30F84894"/>
    <w:rsid w:val="32EF40CE"/>
    <w:rsid w:val="34920D5F"/>
    <w:rsid w:val="35707AB6"/>
    <w:rsid w:val="35AB7798"/>
    <w:rsid w:val="372974AC"/>
    <w:rsid w:val="37515EC2"/>
    <w:rsid w:val="3949702E"/>
    <w:rsid w:val="3BE408BA"/>
    <w:rsid w:val="3C7F703B"/>
    <w:rsid w:val="3CA824B1"/>
    <w:rsid w:val="3CC74040"/>
    <w:rsid w:val="3D70189E"/>
    <w:rsid w:val="3F1D6A81"/>
    <w:rsid w:val="40100209"/>
    <w:rsid w:val="42271DDB"/>
    <w:rsid w:val="431C524D"/>
    <w:rsid w:val="43910C0D"/>
    <w:rsid w:val="460B0573"/>
    <w:rsid w:val="484376F6"/>
    <w:rsid w:val="48B52937"/>
    <w:rsid w:val="48EE3EF3"/>
    <w:rsid w:val="4C1E2F28"/>
    <w:rsid w:val="4CFC29CC"/>
    <w:rsid w:val="4D6E1856"/>
    <w:rsid w:val="4EAF5F33"/>
    <w:rsid w:val="502C04C1"/>
    <w:rsid w:val="51DE24AB"/>
    <w:rsid w:val="54F86724"/>
    <w:rsid w:val="5651051D"/>
    <w:rsid w:val="565778D5"/>
    <w:rsid w:val="569C62AE"/>
    <w:rsid w:val="56EC004A"/>
    <w:rsid w:val="57E961A8"/>
    <w:rsid w:val="581E77CF"/>
    <w:rsid w:val="58B06254"/>
    <w:rsid w:val="5A3A772B"/>
    <w:rsid w:val="5AF25131"/>
    <w:rsid w:val="600176AC"/>
    <w:rsid w:val="639E370A"/>
    <w:rsid w:val="65332BB8"/>
    <w:rsid w:val="664A46E0"/>
    <w:rsid w:val="66663412"/>
    <w:rsid w:val="66755D81"/>
    <w:rsid w:val="677741EB"/>
    <w:rsid w:val="68A121F7"/>
    <w:rsid w:val="68A9241E"/>
    <w:rsid w:val="6B6D695A"/>
    <w:rsid w:val="6BAD47D1"/>
    <w:rsid w:val="6BAF08BC"/>
    <w:rsid w:val="6CF767B2"/>
    <w:rsid w:val="6D253E8A"/>
    <w:rsid w:val="6F165F78"/>
    <w:rsid w:val="6FD41D7F"/>
    <w:rsid w:val="72165091"/>
    <w:rsid w:val="72416639"/>
    <w:rsid w:val="738C1FE2"/>
    <w:rsid w:val="75531EF6"/>
    <w:rsid w:val="75D0003D"/>
    <w:rsid w:val="764F7877"/>
    <w:rsid w:val="7A6A5879"/>
    <w:rsid w:val="7AA141FF"/>
    <w:rsid w:val="7C445B57"/>
    <w:rsid w:val="7D713C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ind w:left="761"/>
    </w:pPr>
    <w:rPr>
      <w:rFonts w:hint="eastAsia" w:ascii="仿宋_GB2312" w:hAnsi="仿宋_GB2312" w:eastAsia="仿宋_GB2312"/>
      <w:sz w:val="32"/>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character" w:customStyle="1" w:styleId="7">
    <w:name w:val="Footer Char"/>
    <w:basedOn w:val="5"/>
    <w:link w:val="3"/>
    <w:semiHidden/>
    <w:qFormat/>
    <w:uiPriority w:val="99"/>
    <w:rPr>
      <w:rFonts w:ascii="Calibri" w:hAnsi="Calibri" w:cs="Calibri"/>
      <w:sz w:val="18"/>
      <w:szCs w:val="18"/>
    </w:rPr>
  </w:style>
  <w:style w:type="character" w:customStyle="1" w:styleId="8">
    <w:name w:val="Header Char"/>
    <w:basedOn w:val="5"/>
    <w:link w:val="4"/>
    <w:semiHidden/>
    <w:qFormat/>
    <w:uiPriority w:val="99"/>
    <w:rPr>
      <w:rFonts w:ascii="Calibri" w:hAnsi="Calibri" w:cs="Calibri"/>
      <w:sz w:val="18"/>
      <w:szCs w:val="18"/>
    </w:rPr>
  </w:style>
  <w:style w:type="character" w:customStyle="1" w:styleId="9">
    <w:name w:val="font31"/>
    <w:basedOn w:val="5"/>
    <w:qFormat/>
    <w:uiPriority w:val="99"/>
    <w:rPr>
      <w:rFonts w:ascii="Arial" w:hAnsi="Arial" w:cs="Arial"/>
      <w:color w:val="000000"/>
      <w:sz w:val="16"/>
      <w:szCs w:val="16"/>
      <w:u w:val="none"/>
    </w:rPr>
  </w:style>
  <w:style w:type="character" w:customStyle="1" w:styleId="10">
    <w:name w:val="font01"/>
    <w:basedOn w:val="5"/>
    <w:qFormat/>
    <w:uiPriority w:val="99"/>
    <w:rPr>
      <w:rFonts w:ascii="Arial" w:hAnsi="Arial" w:cs="Arial"/>
      <w:color w:val="000000"/>
      <w:sz w:val="16"/>
      <w:szCs w:val="16"/>
      <w:u w:val="none"/>
    </w:rPr>
  </w:style>
  <w:style w:type="character" w:customStyle="1" w:styleId="11">
    <w:name w:val="font41"/>
    <w:basedOn w:val="5"/>
    <w:qFormat/>
    <w:uiPriority w:val="99"/>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10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28</Pages>
  <Words>1488</Words>
  <Characters>8483</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Administrator</cp:lastModifiedBy>
  <cp:lastPrinted>2017-10-20T00:53:00Z</cp:lastPrinted>
  <dcterms:modified xsi:type="dcterms:W3CDTF">2017-11-17T07:58:26Z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