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ind w:firstLine="3120" w:firstLineChars="600"/>
        <w:jc w:val="both"/>
        <w:rPr>
          <w:rFonts w:hint="eastAsia" w:ascii="隶书" w:hAnsi="隶书" w:eastAsia="隶书" w:cs="隶书"/>
          <w:sz w:val="52"/>
          <w:szCs w:val="52"/>
          <w:lang w:eastAsia="zh-CN"/>
        </w:rPr>
      </w:pPr>
    </w:p>
    <w:p>
      <w:pPr>
        <w:ind w:firstLine="3120" w:firstLineChars="600"/>
        <w:jc w:val="both"/>
        <w:rPr>
          <w:rFonts w:hint="eastAsia" w:ascii="黑体" w:hAnsi="黑体" w:eastAsia="黑体" w:cs="Times New Roman"/>
          <w:sz w:val="52"/>
          <w:szCs w:val="52"/>
          <w:lang w:eastAsia="zh-CN"/>
        </w:rPr>
      </w:pPr>
      <w:r>
        <w:rPr>
          <w:rFonts w:hint="eastAsia" w:ascii="隶书" w:hAnsi="隶书" w:eastAsia="隶书" w:cs="隶书"/>
          <w:sz w:val="52"/>
          <w:szCs w:val="52"/>
          <w:lang w:eastAsia="zh-CN"/>
        </w:rPr>
        <w:t>区委办公室</w:t>
      </w:r>
    </w:p>
    <w:p>
      <w:pPr>
        <w:jc w:val="center"/>
        <w:rPr>
          <w:rFonts w:ascii="隶书" w:hAnsi="隶书" w:eastAsia="隶书" w:cs="Times New Roman"/>
          <w:sz w:val="52"/>
          <w:szCs w:val="52"/>
        </w:rPr>
        <w:sectPr>
          <w:pgSz w:w="11906" w:h="16838"/>
          <w:pgMar w:top="1440" w:right="1531" w:bottom="1440" w:left="1587" w:header="850" w:footer="992" w:gutter="0"/>
          <w:pgNumType w:fmt="numberInDash" w:start="1"/>
          <w:cols w:space="0" w:num="1"/>
          <w:docGrid w:type="lines" w:linePitch="317" w:charSpace="0"/>
        </w:sectPr>
      </w:pPr>
      <w:r>
        <w:rPr>
          <w:rFonts w:ascii="隶书" w:hAnsi="隶书" w:eastAsia="隶书" w:cs="隶书"/>
          <w:sz w:val="52"/>
          <w:szCs w:val="52"/>
        </w:rPr>
        <w:t>2016</w:t>
      </w:r>
      <w:r>
        <w:rPr>
          <w:rFonts w:hint="eastAsia" w:ascii="隶书" w:hAnsi="隶书" w:eastAsia="隶书" w:cs="隶书"/>
          <w:sz w:val="52"/>
          <w:szCs w:val="52"/>
        </w:rPr>
        <w:t>年度部门决算</w:t>
      </w:r>
    </w:p>
    <w:p>
      <w:pPr>
        <w:jc w:val="center"/>
        <w:rPr>
          <w:rFonts w:hint="eastAsia" w:ascii="黑体" w:hAnsi="黑体" w:eastAsia="黑体" w:cs="黑体"/>
          <w:sz w:val="36"/>
          <w:szCs w:val="36"/>
        </w:rPr>
      </w:pPr>
    </w:p>
    <w:p>
      <w:pPr>
        <w:jc w:val="center"/>
        <w:rPr>
          <w:rFonts w:ascii="黑体" w:hAnsi="黑体" w:eastAsia="黑体" w:cs="Times New Roman"/>
          <w:sz w:val="36"/>
          <w:szCs w:val="36"/>
        </w:rPr>
      </w:pPr>
      <w:r>
        <w:rPr>
          <w:rFonts w:hint="eastAsia" w:ascii="黑体" w:hAnsi="黑体" w:eastAsia="黑体" w:cs="黑体"/>
          <w:sz w:val="36"/>
          <w:szCs w:val="36"/>
        </w:rPr>
        <w:t>目　　录</w:t>
      </w:r>
    </w:p>
    <w:p>
      <w:pPr>
        <w:jc w:val="left"/>
        <w:rPr>
          <w:rFonts w:ascii="黑体" w:hAnsi="黑体" w:eastAsia="黑体" w:cs="Times New Roman"/>
          <w:sz w:val="32"/>
          <w:szCs w:val="32"/>
        </w:rPr>
      </w:pPr>
      <w:r>
        <w:rPr>
          <w:rFonts w:hint="eastAsia" w:ascii="黑体" w:hAnsi="黑体" w:eastAsia="黑体" w:cs="黑体"/>
          <w:sz w:val="32"/>
          <w:szCs w:val="32"/>
        </w:rPr>
        <w:t>第一部分　　</w:t>
      </w:r>
      <w:r>
        <w:rPr>
          <w:rFonts w:hint="eastAsia" w:ascii="黑体" w:hAnsi="黑体" w:eastAsia="黑体" w:cs="黑体"/>
          <w:sz w:val="32"/>
          <w:szCs w:val="32"/>
          <w:lang w:eastAsia="zh-CN"/>
        </w:rPr>
        <w:t>区委办</w:t>
      </w:r>
      <w:r>
        <w:rPr>
          <w:rFonts w:hint="eastAsia" w:ascii="黑体" w:hAnsi="黑体" w:eastAsia="黑体" w:cs="黑体"/>
          <w:sz w:val="32"/>
          <w:szCs w:val="32"/>
        </w:rPr>
        <w:t>概况</w:t>
      </w:r>
    </w:p>
    <w:p>
      <w:pPr>
        <w:numPr>
          <w:ilvl w:val="0"/>
          <w:numId w:val="1"/>
        </w:numPr>
        <w:jc w:val="left"/>
        <w:rPr>
          <w:rFonts w:ascii="宋体" w:cs="Times New Roman"/>
          <w:sz w:val="32"/>
          <w:szCs w:val="32"/>
        </w:rPr>
      </w:pPr>
      <w:r>
        <w:rPr>
          <w:rFonts w:hint="eastAsia" w:ascii="宋体" w:hAnsi="宋体" w:cs="宋体"/>
          <w:sz w:val="32"/>
          <w:szCs w:val="32"/>
        </w:rPr>
        <w:t>主要职责</w:t>
      </w:r>
    </w:p>
    <w:p>
      <w:pPr>
        <w:numPr>
          <w:ilvl w:val="0"/>
          <w:numId w:val="1"/>
        </w:numPr>
        <w:jc w:val="left"/>
        <w:rPr>
          <w:rFonts w:ascii="宋体" w:cs="Times New Roman"/>
          <w:sz w:val="32"/>
          <w:szCs w:val="32"/>
        </w:rPr>
      </w:pPr>
      <w:r>
        <w:rPr>
          <w:rFonts w:hint="eastAsia" w:ascii="宋体" w:hAnsi="宋体" w:cs="宋体"/>
          <w:sz w:val="32"/>
          <w:szCs w:val="32"/>
        </w:rPr>
        <w:t>部门决算单位构成</w:t>
      </w:r>
    </w:p>
    <w:p>
      <w:pPr>
        <w:jc w:val="left"/>
        <w:rPr>
          <w:rFonts w:ascii="黑体" w:hAnsi="黑体" w:eastAsia="黑体" w:cs="Times New Roman"/>
          <w:sz w:val="32"/>
          <w:szCs w:val="32"/>
        </w:rPr>
      </w:pPr>
      <w:r>
        <w:rPr>
          <w:rFonts w:hint="eastAsia" w:ascii="黑体" w:hAnsi="黑体" w:eastAsia="黑体" w:cs="黑体"/>
          <w:sz w:val="32"/>
          <w:szCs w:val="32"/>
        </w:rPr>
        <w:t>第二部分　　</w:t>
      </w:r>
      <w:r>
        <w:rPr>
          <w:rFonts w:hint="eastAsia" w:ascii="黑体" w:hAnsi="黑体" w:eastAsia="黑体" w:cs="黑体"/>
          <w:sz w:val="32"/>
          <w:szCs w:val="32"/>
          <w:lang w:eastAsia="zh-CN"/>
        </w:rPr>
        <w:t>区委办</w:t>
      </w:r>
      <w:r>
        <w:rPr>
          <w:rFonts w:ascii="黑体" w:hAnsi="黑体" w:eastAsia="黑体" w:cs="黑体"/>
          <w:sz w:val="32"/>
          <w:szCs w:val="32"/>
        </w:rPr>
        <w:t>2016</w:t>
      </w:r>
      <w:r>
        <w:rPr>
          <w:rFonts w:hint="eastAsia" w:ascii="黑体" w:hAnsi="黑体" w:eastAsia="黑体" w:cs="黑体"/>
          <w:sz w:val="32"/>
          <w:szCs w:val="32"/>
        </w:rPr>
        <w:t>年度部门决算表</w:t>
      </w:r>
    </w:p>
    <w:p>
      <w:pPr>
        <w:jc w:val="left"/>
        <w:rPr>
          <w:rFonts w:ascii="宋体" w:cs="Times New Roman"/>
          <w:sz w:val="32"/>
          <w:szCs w:val="32"/>
        </w:rPr>
      </w:pPr>
      <w:r>
        <w:rPr>
          <w:rFonts w:hint="eastAsia" w:ascii="宋体" w:hAnsi="宋体" w:cs="宋体"/>
          <w:sz w:val="32"/>
          <w:szCs w:val="32"/>
        </w:rPr>
        <w:t>一、收入支出决算总表</w:t>
      </w:r>
    </w:p>
    <w:p>
      <w:pPr>
        <w:jc w:val="left"/>
        <w:rPr>
          <w:rFonts w:ascii="宋体" w:cs="Times New Roman"/>
          <w:sz w:val="32"/>
          <w:szCs w:val="32"/>
        </w:rPr>
      </w:pPr>
      <w:r>
        <w:rPr>
          <w:rFonts w:hint="eastAsia" w:ascii="宋体" w:hAnsi="宋体" w:cs="宋体"/>
          <w:sz w:val="32"/>
          <w:szCs w:val="32"/>
        </w:rPr>
        <w:t>二、收入决算表</w:t>
      </w:r>
    </w:p>
    <w:p>
      <w:pPr>
        <w:jc w:val="left"/>
        <w:rPr>
          <w:rFonts w:ascii="宋体" w:cs="Times New Roman"/>
          <w:sz w:val="32"/>
          <w:szCs w:val="32"/>
        </w:rPr>
      </w:pPr>
      <w:r>
        <w:rPr>
          <w:rFonts w:hint="eastAsia" w:ascii="宋体" w:hAnsi="宋体" w:cs="宋体"/>
          <w:sz w:val="32"/>
          <w:szCs w:val="32"/>
        </w:rPr>
        <w:t>三、支出决算表</w:t>
      </w:r>
    </w:p>
    <w:p>
      <w:pPr>
        <w:jc w:val="left"/>
        <w:rPr>
          <w:rFonts w:ascii="宋体" w:cs="Times New Roman"/>
          <w:sz w:val="32"/>
          <w:szCs w:val="32"/>
        </w:rPr>
      </w:pPr>
      <w:r>
        <w:rPr>
          <w:rFonts w:hint="eastAsia" w:ascii="宋体" w:hAnsi="宋体" w:cs="宋体"/>
          <w:sz w:val="32"/>
          <w:szCs w:val="32"/>
        </w:rPr>
        <w:t>四、财政拨款收入支出决算总表</w:t>
      </w:r>
    </w:p>
    <w:p>
      <w:pPr>
        <w:jc w:val="left"/>
        <w:rPr>
          <w:rFonts w:ascii="宋体" w:cs="Times New Roman"/>
          <w:sz w:val="32"/>
          <w:szCs w:val="32"/>
        </w:rPr>
      </w:pPr>
      <w:r>
        <w:rPr>
          <w:rFonts w:hint="eastAsia" w:ascii="宋体" w:hAnsi="宋体" w:cs="宋体"/>
          <w:sz w:val="32"/>
          <w:szCs w:val="32"/>
        </w:rPr>
        <w:t>五、一般公共预算财政拨款支出决算表</w:t>
      </w:r>
    </w:p>
    <w:p>
      <w:pPr>
        <w:jc w:val="left"/>
        <w:rPr>
          <w:rFonts w:ascii="宋体" w:cs="Times New Roman"/>
          <w:sz w:val="32"/>
          <w:szCs w:val="32"/>
        </w:rPr>
      </w:pPr>
      <w:r>
        <w:rPr>
          <w:rFonts w:hint="eastAsia" w:ascii="宋体" w:hAnsi="宋体" w:cs="宋体"/>
          <w:sz w:val="32"/>
          <w:szCs w:val="32"/>
        </w:rPr>
        <w:t>六、一般公共预算财政拨款基本支出决算表</w:t>
      </w:r>
    </w:p>
    <w:p>
      <w:pPr>
        <w:jc w:val="left"/>
        <w:rPr>
          <w:rFonts w:ascii="宋体" w:cs="Times New Roman"/>
          <w:sz w:val="32"/>
          <w:szCs w:val="32"/>
        </w:rPr>
      </w:pPr>
      <w:r>
        <w:rPr>
          <w:rFonts w:hint="eastAsia" w:ascii="宋体" w:hAnsi="宋体" w:cs="宋体"/>
          <w:sz w:val="32"/>
          <w:szCs w:val="32"/>
        </w:rPr>
        <w:t>七、一般公共预算财政拨款“三公”经费支出决算表</w:t>
      </w:r>
    </w:p>
    <w:p>
      <w:pPr>
        <w:jc w:val="left"/>
        <w:rPr>
          <w:rFonts w:ascii="宋体" w:cs="Times New Roman"/>
          <w:sz w:val="32"/>
          <w:szCs w:val="32"/>
        </w:rPr>
      </w:pPr>
      <w:r>
        <w:rPr>
          <w:rFonts w:hint="eastAsia" w:ascii="宋体" w:hAnsi="宋体" w:cs="宋体"/>
          <w:sz w:val="32"/>
          <w:szCs w:val="32"/>
        </w:rPr>
        <w:t>八、政府性基金预算财政拨款收入支出决算表</w:t>
      </w:r>
    </w:p>
    <w:p>
      <w:pPr>
        <w:jc w:val="left"/>
        <w:rPr>
          <w:rFonts w:ascii="黑体" w:hAnsi="黑体" w:eastAsia="黑体" w:cs="Times New Roman"/>
          <w:sz w:val="32"/>
          <w:szCs w:val="32"/>
        </w:rPr>
      </w:pPr>
      <w:r>
        <w:rPr>
          <w:rFonts w:hint="eastAsia" w:ascii="黑体" w:hAnsi="黑体" w:eastAsia="黑体" w:cs="黑体"/>
          <w:sz w:val="32"/>
          <w:szCs w:val="32"/>
        </w:rPr>
        <w:t>第三部分　　</w:t>
      </w:r>
      <w:r>
        <w:rPr>
          <w:rFonts w:hint="eastAsia" w:ascii="黑体" w:hAnsi="黑体" w:eastAsia="黑体" w:cs="黑体"/>
          <w:sz w:val="32"/>
          <w:szCs w:val="32"/>
          <w:lang w:eastAsia="zh-CN"/>
        </w:rPr>
        <w:t>区委办</w:t>
      </w:r>
      <w:r>
        <w:rPr>
          <w:rFonts w:ascii="黑体" w:hAnsi="黑体" w:eastAsia="黑体" w:cs="黑体"/>
          <w:sz w:val="32"/>
          <w:szCs w:val="32"/>
        </w:rPr>
        <w:t>2016</w:t>
      </w:r>
      <w:r>
        <w:rPr>
          <w:rFonts w:hint="eastAsia" w:ascii="黑体" w:hAnsi="黑体" w:eastAsia="黑体" w:cs="黑体"/>
          <w:sz w:val="32"/>
          <w:szCs w:val="32"/>
        </w:rPr>
        <w:t>年度部门决算情况说明</w:t>
      </w:r>
    </w:p>
    <w:p>
      <w:pPr>
        <w:jc w:val="left"/>
        <w:rPr>
          <w:rFonts w:ascii="黑体" w:hAnsi="黑体" w:eastAsia="黑体" w:cs="Times New Roman"/>
          <w:sz w:val="32"/>
          <w:szCs w:val="32"/>
        </w:rPr>
        <w:sectPr>
          <w:footerReference r:id="rId3" w:type="default"/>
          <w:pgSz w:w="11906" w:h="16838"/>
          <w:pgMar w:top="1440" w:right="1531" w:bottom="1440" w:left="1587" w:header="850" w:footer="992" w:gutter="0"/>
          <w:pgNumType w:fmt="numberInDash"/>
          <w:cols w:space="0" w:num="1"/>
          <w:docGrid w:type="lines" w:linePitch="317" w:charSpace="0"/>
        </w:sectPr>
      </w:pPr>
      <w:r>
        <w:rPr>
          <w:rFonts w:hint="eastAsia" w:ascii="黑体" w:hAnsi="黑体" w:eastAsia="黑体" w:cs="黑体"/>
          <w:sz w:val="32"/>
          <w:szCs w:val="32"/>
        </w:rPr>
        <w:t>第四部分　　名词解释</w:t>
      </w: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center"/>
        <w:outlineLvl w:val="0"/>
        <w:rPr>
          <w:rFonts w:ascii="隶书" w:hAnsi="隶书" w:eastAsia="隶书" w:cs="Times New Roman"/>
          <w:sz w:val="48"/>
          <w:szCs w:val="48"/>
        </w:rPr>
        <w:sectPr>
          <w:footerReference r:id="rId4" w:type="default"/>
          <w:pgSz w:w="11906" w:h="16838"/>
          <w:pgMar w:top="1440" w:right="1531" w:bottom="1440" w:left="1587" w:header="850" w:footer="992" w:gutter="0"/>
          <w:pgNumType w:fmt="numberInDash" w:start="1"/>
          <w:cols w:space="0" w:num="1"/>
          <w:docGrid w:type="lines" w:linePitch="317" w:charSpace="0"/>
        </w:sectPr>
      </w:pPr>
      <w:r>
        <w:rPr>
          <w:rFonts w:hint="eastAsia" w:ascii="隶书" w:hAnsi="隶书" w:eastAsia="隶书" w:cs="隶书"/>
          <w:sz w:val="48"/>
          <w:szCs w:val="48"/>
        </w:rPr>
        <w:t>第一部分　</w:t>
      </w:r>
      <w:r>
        <w:rPr>
          <w:rFonts w:hint="eastAsia" w:ascii="隶书" w:hAnsi="隶书" w:eastAsia="隶书" w:cs="隶书"/>
          <w:sz w:val="48"/>
          <w:szCs w:val="48"/>
          <w:lang w:eastAsia="zh-CN"/>
        </w:rPr>
        <w:t>区委办</w:t>
      </w:r>
      <w:r>
        <w:rPr>
          <w:rFonts w:hint="eastAsia" w:ascii="隶书" w:hAnsi="隶书" w:eastAsia="隶书" w:cs="隶书"/>
          <w:sz w:val="48"/>
          <w:szCs w:val="48"/>
        </w:rPr>
        <w:t>概况</w:t>
      </w:r>
    </w:p>
    <w:p>
      <w:pPr>
        <w:numPr>
          <w:ilvl w:val="0"/>
          <w:numId w:val="2"/>
        </w:numPr>
        <w:spacing w:line="360" w:lineRule="auto"/>
        <w:ind w:firstLine="640" w:firstLineChars="200"/>
        <w:jc w:val="left"/>
        <w:outlineLvl w:val="1"/>
        <w:rPr>
          <w:rFonts w:ascii="楷体_GB2312" w:hAnsi="楷体_GB2312" w:eastAsia="楷体_GB2312" w:cs="Times New Roman"/>
          <w:sz w:val="32"/>
          <w:szCs w:val="32"/>
        </w:rPr>
      </w:pPr>
      <w:r>
        <w:rPr>
          <w:rFonts w:hint="eastAsia" w:ascii="黑体" w:hAnsi="黑体" w:eastAsia="黑体" w:cs="黑体"/>
          <w:sz w:val="32"/>
          <w:szCs w:val="32"/>
        </w:rPr>
        <w:t>主要职责</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（一）负责区委日常文书处理，区委重要决策、工作部署贯彻落实的督促检查，区委指示、区委领导和上级领导指示的传达和催办落实，区委各种会议会务工作和区委领导同志重大活动的组织安排。</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（二）围绕区委总体工作部署和上级党委要求，收集信息、反应动态、综合调研，为区委和区领导决策提供依据。</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（三）负责部分区委文件、文稿的起草、修改和校核工作。</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（四）负责对中央各项方针政策在基层贯彻执行情况的反馈。</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（五）负责协调区委与人大、政府、政协的关系，负责区委机关各部门的协调工作。</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（六）承办区委保密日常事务工作，依法履行保密行政管理。</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（七）负责全区党政系统的密码通信和密码管理，负责中央和省、市核心机密文电、信件的传递工作及全区商业密码的管理工作。</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（八）负责“三密”文件的收发、传阅、清理工作，对区直机要室进行监管和业务指导。</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（九）负责部分区委领导的工作、生活服务工作。</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（十）代管区委、区政府信访局。</w:t>
      </w:r>
    </w:p>
    <w:p>
      <w:pPr>
        <w:pStyle w:val="11"/>
        <w:widowControl w:val="0"/>
        <w:spacing w:line="520" w:lineRule="exact"/>
        <w:ind w:firstLine="579" w:firstLineChars="181"/>
        <w:rPr>
          <w:rFonts w:hint="eastAsia" w:ascii="仿宋_GB2312" w:eastAsia="仿宋_GB2312"/>
          <w:sz w:val="32"/>
          <w:szCs w:val="32"/>
        </w:rPr>
      </w:pPr>
      <w:r>
        <w:rPr>
          <w:rFonts w:hint="eastAsia" w:ascii="仿宋_GB2312" w:eastAsia="仿宋_GB2312"/>
          <w:sz w:val="32"/>
          <w:szCs w:val="32"/>
        </w:rPr>
        <w:t>（十一）完成区委交办的其他任务。</w:t>
      </w:r>
    </w:p>
    <w:p>
      <w:pPr>
        <w:pStyle w:val="11"/>
        <w:widowControl w:val="0"/>
        <w:spacing w:line="520" w:lineRule="exact"/>
        <w:ind w:firstLine="579" w:firstLineChars="181"/>
        <w:rPr>
          <w:rFonts w:hint="eastAsia" w:ascii="仿宋_GB2312" w:eastAsia="仿宋_GB2312"/>
          <w:sz w:val="32"/>
          <w:szCs w:val="32"/>
        </w:rPr>
      </w:pPr>
    </w:p>
    <w:p>
      <w:pPr>
        <w:pStyle w:val="11"/>
        <w:widowControl w:val="0"/>
        <w:spacing w:line="520" w:lineRule="exact"/>
        <w:ind w:firstLine="579" w:firstLineChars="181"/>
        <w:rPr>
          <w:rFonts w:hint="eastAsia" w:ascii="仿宋_GB2312" w:eastAsia="仿宋_GB2312"/>
          <w:sz w:val="32"/>
          <w:szCs w:val="32"/>
        </w:rPr>
      </w:pPr>
    </w:p>
    <w:p>
      <w:pPr>
        <w:pStyle w:val="11"/>
        <w:widowControl w:val="0"/>
        <w:spacing w:line="520" w:lineRule="exact"/>
        <w:ind w:firstLine="579" w:firstLineChars="181"/>
        <w:rPr>
          <w:rFonts w:hint="eastAsia" w:ascii="仿宋_GB2312" w:eastAsia="仿宋_GB2312"/>
          <w:sz w:val="32"/>
          <w:szCs w:val="32"/>
        </w:rPr>
      </w:pPr>
    </w:p>
    <w:p>
      <w:pPr>
        <w:pStyle w:val="11"/>
        <w:widowControl w:val="0"/>
        <w:spacing w:line="520" w:lineRule="exact"/>
        <w:ind w:firstLine="579" w:firstLineChars="181"/>
        <w:rPr>
          <w:rFonts w:hint="eastAsia" w:ascii="仿宋_GB2312" w:eastAsia="仿宋_GB2312"/>
          <w:sz w:val="32"/>
          <w:szCs w:val="32"/>
        </w:rPr>
      </w:pPr>
    </w:p>
    <w:p>
      <w:pPr>
        <w:numPr>
          <w:ilvl w:val="0"/>
          <w:numId w:val="0"/>
        </w:numPr>
        <w:spacing w:line="360" w:lineRule="auto"/>
        <w:jc w:val="left"/>
        <w:outlineLvl w:val="1"/>
        <w:rPr>
          <w:rFonts w:ascii="楷体_GB2312" w:hAnsi="楷体_GB2312" w:eastAsia="楷体_GB2312" w:cs="Times New Roman"/>
          <w:sz w:val="32"/>
          <w:szCs w:val="32"/>
        </w:rPr>
      </w:pPr>
    </w:p>
    <w:p>
      <w:pPr>
        <w:numPr>
          <w:ilvl w:val="0"/>
          <w:numId w:val="3"/>
        </w:numPr>
        <w:spacing w:line="360" w:lineRule="auto"/>
        <w:ind w:firstLine="640" w:firstLineChars="200"/>
        <w:jc w:val="left"/>
        <w:outlineLvl w:val="1"/>
        <w:rPr>
          <w:rFonts w:ascii="黑体" w:hAnsi="黑体" w:eastAsia="黑体" w:cs="Times New Roman"/>
          <w:sz w:val="32"/>
          <w:szCs w:val="32"/>
        </w:rPr>
      </w:pPr>
      <w:r>
        <w:rPr>
          <w:rFonts w:hint="eastAsia" w:ascii="黑体" w:hAnsi="黑体" w:eastAsia="黑体" w:cs="黑体"/>
          <w:sz w:val="32"/>
          <w:szCs w:val="32"/>
        </w:rPr>
        <w:t>部门决算单位构成</w:t>
      </w:r>
    </w:p>
    <w:p>
      <w:pPr>
        <w:tabs>
          <w:tab w:val="left" w:pos="0"/>
        </w:tabs>
        <w:spacing w:line="540" w:lineRule="exact"/>
        <w:ind w:firstLine="640" w:firstLineChars="200"/>
        <w:rPr>
          <w:rFonts w:hint="eastAsia" w:ascii="仿宋" w:hAnsi="仿宋" w:eastAsia="仿宋" w:cs="仿宋"/>
          <w:bCs/>
          <w:sz w:val="32"/>
          <w:szCs w:val="32"/>
        </w:rPr>
      </w:pPr>
      <w:r>
        <w:rPr>
          <w:rFonts w:hint="eastAsia" w:ascii="仿宋" w:hAnsi="仿宋" w:eastAsia="仿宋" w:cs="仿宋"/>
          <w:sz w:val="32"/>
          <w:szCs w:val="32"/>
        </w:rPr>
        <w:t>根据中共中站区委、中站区人民政府《关于中站区机构改革实施意见》（中区发〔2001〕18号），设置中共中站区委办公室。中共中站区委办公室是中共中站区委的综合办事机构，中共中站区委机要局并入区委办公室、保留机要局牌子，是区委密码工作领导小组的办事机构。经费由财政全供。</w:t>
      </w:r>
    </w:p>
    <w:p>
      <w:pPr>
        <w:jc w:val="left"/>
        <w:rPr>
          <w:rFonts w:hint="eastAsia" w:ascii="仿宋" w:hAnsi="仿宋" w:eastAsia="仿宋" w:cs="仿宋"/>
          <w:sz w:val="32"/>
          <w:szCs w:val="32"/>
        </w:rPr>
      </w:pPr>
    </w:p>
    <w:p>
      <w:pPr>
        <w:jc w:val="left"/>
        <w:rPr>
          <w:rFonts w:hint="eastAsia" w:ascii="仿宋" w:hAnsi="仿宋" w:eastAsia="仿宋" w:cs="仿宋"/>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hint="eastAsia" w:ascii="隶书" w:hAnsi="隶书" w:eastAsia="隶书" w:cs="隶书"/>
          <w:sz w:val="48"/>
          <w:szCs w:val="48"/>
        </w:rPr>
      </w:pPr>
    </w:p>
    <w:p>
      <w:pPr>
        <w:jc w:val="center"/>
        <w:outlineLvl w:val="0"/>
        <w:rPr>
          <w:rFonts w:ascii="隶书" w:hAnsi="隶书" w:eastAsia="隶书" w:cs="Times New Roman"/>
          <w:sz w:val="48"/>
          <w:szCs w:val="48"/>
        </w:rPr>
      </w:pPr>
      <w:r>
        <w:rPr>
          <w:rFonts w:hint="eastAsia" w:ascii="隶书" w:hAnsi="隶书" w:eastAsia="隶书" w:cs="隶书"/>
          <w:sz w:val="48"/>
          <w:szCs w:val="48"/>
        </w:rPr>
        <w:t>第二部分</w:t>
      </w:r>
    </w:p>
    <w:p>
      <w:pPr>
        <w:jc w:val="center"/>
        <w:rPr>
          <w:rFonts w:ascii="隶书" w:hAnsi="隶书" w:eastAsia="隶书" w:cs="Times New Roman"/>
          <w:sz w:val="48"/>
          <w:szCs w:val="48"/>
        </w:rPr>
        <w:sectPr>
          <w:pgSz w:w="11906" w:h="16838"/>
          <w:pgMar w:top="1440" w:right="1531" w:bottom="1440" w:left="1587" w:header="850" w:footer="992" w:gutter="0"/>
          <w:pgNumType w:fmt="numberInDash"/>
          <w:cols w:space="0" w:num="1"/>
          <w:docGrid w:type="lines" w:linePitch="317" w:charSpace="0"/>
        </w:sectPr>
      </w:pPr>
      <w:r>
        <w:rPr>
          <w:rFonts w:hint="eastAsia" w:ascii="隶书" w:hAnsi="隶书" w:eastAsia="隶书" w:cs="隶书"/>
          <w:sz w:val="48"/>
          <w:szCs w:val="48"/>
          <w:lang w:eastAsia="zh-CN"/>
        </w:rPr>
        <w:t>区委办</w:t>
      </w:r>
      <w:r>
        <w:rPr>
          <w:rFonts w:ascii="隶书" w:hAnsi="隶书" w:eastAsia="隶书" w:cs="隶书"/>
          <w:sz w:val="48"/>
          <w:szCs w:val="48"/>
        </w:rPr>
        <w:t>2016</w:t>
      </w:r>
      <w:r>
        <w:rPr>
          <w:rFonts w:hint="eastAsia" w:ascii="隶书" w:hAnsi="隶书" w:eastAsia="隶书" w:cs="隶书"/>
          <w:sz w:val="48"/>
          <w:szCs w:val="48"/>
        </w:rPr>
        <w:t>年度部门决算表</w:t>
      </w:r>
    </w:p>
    <w:tbl>
      <w:tblPr>
        <w:tblStyle w:val="5"/>
        <w:tblW w:w="7831" w:type="dxa"/>
        <w:tblInd w:w="-13" w:type="dxa"/>
        <w:tblLayout w:type="fixed"/>
        <w:tblCellMar>
          <w:top w:w="15" w:type="dxa"/>
          <w:left w:w="15" w:type="dxa"/>
          <w:bottom w:w="15" w:type="dxa"/>
          <w:right w:w="15" w:type="dxa"/>
        </w:tblCellMar>
      </w:tblPr>
      <w:tblGrid>
        <w:gridCol w:w="1186"/>
        <w:gridCol w:w="506"/>
        <w:gridCol w:w="79"/>
        <w:gridCol w:w="440"/>
        <w:gridCol w:w="154"/>
        <w:gridCol w:w="1"/>
        <w:gridCol w:w="45"/>
        <w:gridCol w:w="2566"/>
        <w:gridCol w:w="60"/>
        <w:gridCol w:w="247"/>
        <w:gridCol w:w="623"/>
        <w:gridCol w:w="760"/>
        <w:gridCol w:w="46"/>
        <w:gridCol w:w="279"/>
        <w:gridCol w:w="747"/>
        <w:gridCol w:w="92"/>
      </w:tblGrid>
      <w:tr>
        <w:tblPrEx>
          <w:tblLayout w:type="fixed"/>
          <w:tblCellMar>
            <w:top w:w="15" w:type="dxa"/>
            <w:left w:w="15" w:type="dxa"/>
            <w:bottom w:w="15" w:type="dxa"/>
            <w:right w:w="15" w:type="dxa"/>
          </w:tblCellMar>
        </w:tblPrEx>
        <w:trPr>
          <w:gridAfter w:val="1"/>
          <w:wAfter w:w="92" w:type="dxa"/>
          <w:trHeight w:val="375" w:hRule="atLeast"/>
        </w:trPr>
        <w:tc>
          <w:tcPr>
            <w:tcW w:w="6667" w:type="dxa"/>
            <w:gridSpan w:val="12"/>
            <w:vAlign w:val="center"/>
          </w:tcPr>
          <w:p>
            <w:pPr>
              <w:widowControl/>
              <w:jc w:val="center"/>
              <w:textAlignment w:val="center"/>
              <w:rPr>
                <w:rFonts w:ascii="黑体" w:hAnsi="宋体" w:eastAsia="黑体" w:cs="Times New Roman"/>
                <w:color w:val="000000"/>
                <w:sz w:val="18"/>
                <w:szCs w:val="18"/>
              </w:rPr>
            </w:pPr>
            <w:r>
              <w:rPr>
                <w:rFonts w:hint="eastAsia" w:ascii="黑体" w:hAnsi="宋体" w:eastAsia="黑体" w:cs="黑体"/>
                <w:color w:val="000000"/>
                <w:kern w:val="0"/>
                <w:sz w:val="24"/>
                <w:szCs w:val="24"/>
              </w:rPr>
              <w:t>收入支出决算总表</w:t>
            </w:r>
          </w:p>
        </w:tc>
        <w:tc>
          <w:tcPr>
            <w:tcW w:w="1072" w:type="dxa"/>
            <w:gridSpan w:val="3"/>
            <w:vAlign w:val="center"/>
          </w:tcPr>
          <w:p>
            <w:pPr>
              <w:widowControl/>
              <w:jc w:val="center"/>
              <w:textAlignment w:val="center"/>
              <w:rPr>
                <w:rFonts w:hint="eastAsia" w:ascii="黑体" w:hAnsi="宋体" w:eastAsia="黑体" w:cs="黑体"/>
                <w:color w:val="000000"/>
                <w:kern w:val="0"/>
                <w:sz w:val="20"/>
                <w:szCs w:val="20"/>
              </w:rPr>
            </w:pPr>
          </w:p>
        </w:tc>
      </w:tr>
      <w:tr>
        <w:tblPrEx>
          <w:tblLayout w:type="fixed"/>
          <w:tblCellMar>
            <w:top w:w="15" w:type="dxa"/>
            <w:left w:w="15" w:type="dxa"/>
            <w:bottom w:w="15" w:type="dxa"/>
            <w:right w:w="15" w:type="dxa"/>
          </w:tblCellMar>
        </w:tblPrEx>
        <w:trPr>
          <w:trHeight w:val="315" w:hRule="atLeast"/>
        </w:trPr>
        <w:tc>
          <w:tcPr>
            <w:tcW w:w="1771" w:type="dxa"/>
            <w:gridSpan w:val="3"/>
            <w:vAlign w:val="center"/>
          </w:tcPr>
          <w:p>
            <w:pPr>
              <w:widowControl/>
              <w:jc w:val="left"/>
              <w:textAlignment w:val="center"/>
              <w:rPr>
                <w:rFonts w:ascii="宋体" w:cs="Times New Roman"/>
                <w:color w:val="000000"/>
                <w:sz w:val="18"/>
                <w:szCs w:val="18"/>
              </w:rPr>
            </w:pPr>
            <w:r>
              <w:rPr>
                <w:rFonts w:ascii="宋体" w:cs="宋体"/>
                <w:color w:val="000000"/>
                <w:kern w:val="0"/>
                <w:sz w:val="18"/>
                <w:szCs w:val="18"/>
              </w:rPr>
              <w:t>.</w:t>
            </w:r>
          </w:p>
        </w:tc>
        <w:tc>
          <w:tcPr>
            <w:tcW w:w="440" w:type="dxa"/>
            <w:vAlign w:val="center"/>
          </w:tcPr>
          <w:p>
            <w:pPr>
              <w:rPr>
                <w:rFonts w:ascii="宋体" w:cs="Times New Roman"/>
                <w:color w:val="000000"/>
                <w:sz w:val="18"/>
                <w:szCs w:val="18"/>
              </w:rPr>
            </w:pPr>
          </w:p>
        </w:tc>
        <w:tc>
          <w:tcPr>
            <w:tcW w:w="200" w:type="dxa"/>
            <w:gridSpan w:val="3"/>
            <w:vAlign w:val="center"/>
          </w:tcPr>
          <w:p>
            <w:pPr>
              <w:rPr>
                <w:rFonts w:ascii="宋体" w:cs="Times New Roman"/>
                <w:color w:val="000000"/>
                <w:sz w:val="18"/>
                <w:szCs w:val="18"/>
              </w:rPr>
            </w:pPr>
          </w:p>
        </w:tc>
        <w:tc>
          <w:tcPr>
            <w:tcW w:w="2626" w:type="dxa"/>
            <w:gridSpan w:val="2"/>
            <w:vAlign w:val="center"/>
          </w:tcPr>
          <w:p>
            <w:pPr>
              <w:rPr>
                <w:rFonts w:ascii="宋体" w:cs="Times New Roman"/>
                <w:color w:val="000000"/>
                <w:sz w:val="18"/>
                <w:szCs w:val="18"/>
              </w:rPr>
            </w:pPr>
          </w:p>
        </w:tc>
        <w:tc>
          <w:tcPr>
            <w:tcW w:w="247" w:type="dxa"/>
            <w:vAlign w:val="center"/>
          </w:tcPr>
          <w:p>
            <w:pPr>
              <w:rPr>
                <w:rFonts w:ascii="宋体" w:cs="Times New Roman"/>
                <w:color w:val="000000"/>
                <w:sz w:val="18"/>
                <w:szCs w:val="18"/>
              </w:rPr>
            </w:pPr>
          </w:p>
        </w:tc>
        <w:tc>
          <w:tcPr>
            <w:tcW w:w="1429" w:type="dxa"/>
            <w:gridSpan w:val="3"/>
            <w:vAlign w:val="center"/>
          </w:tcPr>
          <w:p>
            <w:pPr>
              <w:widowControl/>
              <w:jc w:val="right"/>
              <w:textAlignment w:val="center"/>
              <w:rPr>
                <w:rFonts w:ascii="宋体" w:cs="Times New Roman"/>
                <w:color w:val="000000"/>
                <w:sz w:val="18"/>
                <w:szCs w:val="18"/>
              </w:rPr>
            </w:pPr>
            <w:r>
              <w:rPr>
                <w:rFonts w:hint="eastAsia" w:ascii="宋体" w:hAnsi="宋体" w:cs="宋体"/>
                <w:color w:val="000000"/>
                <w:kern w:val="0"/>
                <w:sz w:val="18"/>
                <w:szCs w:val="18"/>
              </w:rPr>
              <w:t>公开</w:t>
            </w:r>
            <w:r>
              <w:rPr>
                <w:rFonts w:ascii="宋体" w:hAnsi="宋体" w:cs="宋体"/>
                <w:color w:val="000000"/>
                <w:kern w:val="0"/>
                <w:sz w:val="18"/>
                <w:szCs w:val="18"/>
              </w:rPr>
              <w:t>01</w:t>
            </w:r>
            <w:r>
              <w:rPr>
                <w:rFonts w:hint="eastAsia" w:ascii="宋体" w:hAnsi="宋体" w:cs="宋体"/>
                <w:color w:val="000000"/>
                <w:kern w:val="0"/>
                <w:sz w:val="18"/>
                <w:szCs w:val="18"/>
              </w:rPr>
              <w:t>表</w:t>
            </w:r>
          </w:p>
        </w:tc>
        <w:tc>
          <w:tcPr>
            <w:tcW w:w="1118" w:type="dxa"/>
            <w:gridSpan w:val="3"/>
            <w:vAlign w:val="center"/>
          </w:tcPr>
          <w:p>
            <w:pPr>
              <w:widowControl/>
              <w:jc w:val="right"/>
              <w:textAlignment w:val="center"/>
              <w:rPr>
                <w:rFonts w:hint="eastAsia" w:ascii="宋体" w:hAnsi="宋体" w:cs="宋体"/>
                <w:color w:val="000000"/>
                <w:kern w:val="0"/>
                <w:sz w:val="18"/>
                <w:szCs w:val="18"/>
              </w:rPr>
            </w:pPr>
          </w:p>
        </w:tc>
      </w:tr>
      <w:tr>
        <w:tblPrEx>
          <w:tblLayout w:type="fixed"/>
          <w:tblCellMar>
            <w:top w:w="15" w:type="dxa"/>
            <w:left w:w="15" w:type="dxa"/>
            <w:bottom w:w="15" w:type="dxa"/>
            <w:right w:w="15" w:type="dxa"/>
          </w:tblCellMar>
        </w:tblPrEx>
        <w:trPr>
          <w:trHeight w:val="315" w:hRule="atLeast"/>
        </w:trPr>
        <w:tc>
          <w:tcPr>
            <w:tcW w:w="1771" w:type="dxa"/>
            <w:gridSpan w:val="3"/>
            <w:vAlign w:val="center"/>
          </w:tcPr>
          <w:p>
            <w:pPr>
              <w:rPr>
                <w:rFonts w:ascii="宋体" w:cs="Times New Roman"/>
                <w:color w:val="000000"/>
                <w:sz w:val="18"/>
                <w:szCs w:val="18"/>
              </w:rPr>
            </w:pPr>
          </w:p>
        </w:tc>
        <w:tc>
          <w:tcPr>
            <w:tcW w:w="440" w:type="dxa"/>
            <w:vAlign w:val="center"/>
          </w:tcPr>
          <w:p>
            <w:pPr>
              <w:rPr>
                <w:rFonts w:ascii="宋体" w:cs="Times New Roman"/>
                <w:color w:val="000000"/>
                <w:sz w:val="18"/>
                <w:szCs w:val="18"/>
              </w:rPr>
            </w:pPr>
          </w:p>
        </w:tc>
        <w:tc>
          <w:tcPr>
            <w:tcW w:w="200" w:type="dxa"/>
            <w:gridSpan w:val="3"/>
            <w:vAlign w:val="center"/>
          </w:tcPr>
          <w:p>
            <w:pPr>
              <w:rPr>
                <w:rFonts w:ascii="宋体" w:cs="Times New Roman"/>
                <w:color w:val="000000"/>
                <w:sz w:val="18"/>
                <w:szCs w:val="18"/>
              </w:rPr>
            </w:pPr>
          </w:p>
        </w:tc>
        <w:tc>
          <w:tcPr>
            <w:tcW w:w="2626" w:type="dxa"/>
            <w:gridSpan w:val="2"/>
            <w:vAlign w:val="center"/>
          </w:tcPr>
          <w:p>
            <w:pPr>
              <w:rPr>
                <w:rFonts w:ascii="宋体" w:cs="Times New Roman"/>
                <w:color w:val="000000"/>
                <w:sz w:val="18"/>
                <w:szCs w:val="18"/>
              </w:rPr>
            </w:pPr>
          </w:p>
        </w:tc>
        <w:tc>
          <w:tcPr>
            <w:tcW w:w="247" w:type="dxa"/>
            <w:vAlign w:val="center"/>
          </w:tcPr>
          <w:p>
            <w:pPr>
              <w:rPr>
                <w:rFonts w:ascii="宋体" w:cs="Times New Roman"/>
                <w:color w:val="000000"/>
                <w:sz w:val="18"/>
                <w:szCs w:val="18"/>
              </w:rPr>
            </w:pPr>
          </w:p>
        </w:tc>
        <w:tc>
          <w:tcPr>
            <w:tcW w:w="1429" w:type="dxa"/>
            <w:gridSpan w:val="3"/>
            <w:vAlign w:val="center"/>
          </w:tcPr>
          <w:p>
            <w:pPr>
              <w:widowControl/>
              <w:jc w:val="right"/>
              <w:textAlignment w:val="center"/>
              <w:rPr>
                <w:rFonts w:ascii="宋体" w:cs="Times New Roman"/>
                <w:color w:val="000000"/>
                <w:sz w:val="18"/>
                <w:szCs w:val="18"/>
              </w:rPr>
            </w:pPr>
            <w:r>
              <w:rPr>
                <w:rFonts w:hint="eastAsia" w:ascii="宋体" w:hAnsi="宋体" w:cs="宋体"/>
                <w:color w:val="000000"/>
                <w:kern w:val="0"/>
                <w:sz w:val="18"/>
                <w:szCs w:val="18"/>
              </w:rPr>
              <w:t>单位：万元</w:t>
            </w:r>
          </w:p>
        </w:tc>
        <w:tc>
          <w:tcPr>
            <w:tcW w:w="1118" w:type="dxa"/>
            <w:gridSpan w:val="3"/>
            <w:vAlign w:val="center"/>
          </w:tcPr>
          <w:p>
            <w:pPr>
              <w:widowControl/>
              <w:jc w:val="right"/>
              <w:textAlignment w:val="center"/>
              <w:rPr>
                <w:rFonts w:hint="eastAsia" w:ascii="宋体" w:hAnsi="宋体" w:cs="宋体"/>
                <w:color w:val="000000"/>
                <w:kern w:val="0"/>
                <w:sz w:val="18"/>
                <w:szCs w:val="18"/>
              </w:rPr>
            </w:pPr>
          </w:p>
        </w:tc>
      </w:tr>
      <w:tr>
        <w:tblPrEx>
          <w:tblLayout w:type="fixed"/>
          <w:tblCellMar>
            <w:top w:w="15" w:type="dxa"/>
            <w:left w:w="15" w:type="dxa"/>
            <w:bottom w:w="15" w:type="dxa"/>
            <w:right w:w="15" w:type="dxa"/>
          </w:tblCellMar>
        </w:tblPrEx>
        <w:trPr>
          <w:gridAfter w:val="1"/>
          <w:wAfter w:w="92" w:type="dxa"/>
          <w:trHeight w:val="300" w:hRule="atLeast"/>
        </w:trPr>
        <w:tc>
          <w:tcPr>
            <w:tcW w:w="2366" w:type="dxa"/>
            <w:gridSpan w:val="6"/>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收　　入</w:t>
            </w:r>
          </w:p>
        </w:tc>
        <w:tc>
          <w:tcPr>
            <w:tcW w:w="5373" w:type="dxa"/>
            <w:gridSpan w:val="9"/>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支　　出</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项　　目</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行次</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金额</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项　　目</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行次</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金额</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栏　　次</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8"/>
                <w:szCs w:val="18"/>
              </w:rPr>
            </w:pP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ascii="宋体" w:hAnsi="宋体" w:cs="宋体"/>
                <w:b/>
                <w:bCs/>
                <w:color w:val="000000"/>
                <w:kern w:val="0"/>
                <w:sz w:val="18"/>
                <w:szCs w:val="18"/>
              </w:rPr>
              <w:t>1</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栏　　次</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8"/>
                <w:szCs w:val="18"/>
              </w:rPr>
            </w:pP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8"/>
                <w:szCs w:val="18"/>
              </w:rPr>
            </w:pPr>
            <w:r>
              <w:rPr>
                <w:rFonts w:ascii="宋体" w:hAnsi="宋体" w:cs="宋体"/>
                <w:b/>
                <w:bCs/>
                <w:color w:val="000000"/>
                <w:kern w:val="0"/>
                <w:sz w:val="18"/>
                <w:szCs w:val="18"/>
              </w:rPr>
              <w:t>2</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一、财政拨款收入</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tabs>
                <w:tab w:val="left" w:pos="602"/>
              </w:tabs>
              <w:jc w:val="left"/>
              <w:rPr>
                <w:rFonts w:hint="eastAsia" w:ascii="宋体" w:eastAsia="宋体" w:cs="Times New Roman"/>
                <w:color w:val="000000"/>
                <w:sz w:val="18"/>
                <w:szCs w:val="18"/>
                <w:lang w:eastAsia="zh-CN"/>
              </w:rPr>
            </w:pPr>
            <w:r>
              <w:rPr>
                <w:rFonts w:hint="eastAsia" w:ascii="宋体" w:cs="Times New Roman"/>
                <w:color w:val="000000"/>
                <w:sz w:val="18"/>
                <w:szCs w:val="18"/>
                <w:lang w:eastAsia="zh-CN"/>
              </w:rPr>
              <w:tab/>
            </w:r>
            <w:r>
              <w:rPr>
                <w:rFonts w:hint="eastAsia" w:ascii="宋体" w:cs="Times New Roman"/>
                <w:color w:val="000000"/>
                <w:sz w:val="18"/>
                <w:szCs w:val="18"/>
                <w:lang w:val="en-US" w:eastAsia="zh-CN"/>
              </w:rPr>
              <w:t>216.25</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一、一般公共服务支出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30</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center"/>
              <w:rPr>
                <w:rFonts w:hint="eastAsia" w:ascii="宋体" w:eastAsia="宋体" w:cs="Times New Roman"/>
                <w:color w:val="000000"/>
                <w:sz w:val="18"/>
                <w:szCs w:val="18"/>
                <w:lang w:eastAsia="zh-CN"/>
              </w:rPr>
            </w:pPr>
            <w:r>
              <w:rPr>
                <w:rFonts w:hint="eastAsia" w:ascii="宋体" w:cs="Times New Roman"/>
                <w:color w:val="000000"/>
                <w:sz w:val="18"/>
                <w:szCs w:val="18"/>
                <w:lang w:val="en-US" w:eastAsia="zh-CN"/>
              </w:rPr>
              <w:t>197.40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二、上级补助收入</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二、外交支出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31</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center"/>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三、事业收入</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三、国防支出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32</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四、经营收入</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四、公共安全支出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33</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五、附属单位上缴收入</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五、教育支出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34</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六、其他收入</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6</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六、科学技术支出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35</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7</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七、文化体育与传媒支出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36</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8</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八、社会保障和就业支出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37</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6.57</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9</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九、医疗卫生与计划生育支出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38</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1.63</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10</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十、节能环保支出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39</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5</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11</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十一、城乡社区支出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40</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12</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十二、农林水支出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41</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13</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十三、交通运输支出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42</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14</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十四、资源勘探信息等支出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43</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15</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十五、商业服务业等支出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44</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16</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十六、金融支出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45</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17</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十七、援助其他地区支出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46</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18</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十八、国土海洋气象等支出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47</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19</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十九、住房保障支出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48</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5.65</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20</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二十、粮油物资储备支出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49</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21</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二十一、其他支出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50</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22</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二十二、债务还本支出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51</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23</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二十三、债务付息支出</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52</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24</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8"/>
                <w:szCs w:val="18"/>
              </w:rPr>
            </w:pP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53</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8"/>
                <w:szCs w:val="18"/>
              </w:rPr>
            </w:pP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本年收入合计</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ascii="宋体" w:hAnsi="宋体" w:cs="宋体"/>
                <w:b/>
                <w:bCs/>
                <w:color w:val="000000"/>
                <w:kern w:val="0"/>
                <w:sz w:val="18"/>
                <w:szCs w:val="18"/>
              </w:rPr>
              <w:t>25</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eastAsia="宋体" w:cs="Times New Roman"/>
                <w:b/>
                <w:bCs/>
                <w:color w:val="000000"/>
                <w:sz w:val="18"/>
                <w:szCs w:val="18"/>
                <w:lang w:eastAsia="zh-CN"/>
              </w:rPr>
            </w:pPr>
            <w:r>
              <w:rPr>
                <w:rFonts w:hint="eastAsia" w:ascii="宋体" w:cs="Times New Roman"/>
                <w:b/>
                <w:bCs/>
                <w:color w:val="000000"/>
                <w:sz w:val="18"/>
                <w:szCs w:val="18"/>
                <w:lang w:val="en-US" w:eastAsia="zh-CN"/>
              </w:rPr>
              <w:t>216.25</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本年支出合计</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8"/>
                <w:szCs w:val="18"/>
              </w:rPr>
            </w:pPr>
            <w:r>
              <w:rPr>
                <w:rFonts w:ascii="宋体" w:hAnsi="宋体" w:cs="宋体"/>
                <w:b/>
                <w:bCs/>
                <w:color w:val="000000"/>
                <w:kern w:val="0"/>
                <w:sz w:val="18"/>
                <w:szCs w:val="18"/>
              </w:rPr>
              <w:t>54</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b/>
                <w:bCs/>
                <w:color w:val="000000"/>
                <w:sz w:val="18"/>
                <w:szCs w:val="18"/>
                <w:lang w:val="en-US" w:eastAsia="zh-CN"/>
              </w:rPr>
            </w:pPr>
            <w:r>
              <w:rPr>
                <w:rFonts w:hint="eastAsia" w:ascii="宋体" w:cs="Times New Roman"/>
                <w:b/>
                <w:bCs/>
                <w:color w:val="000000"/>
                <w:sz w:val="18"/>
                <w:szCs w:val="18"/>
                <w:lang w:val="en-US" w:eastAsia="zh-CN"/>
              </w:rPr>
              <w:t>216.25</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　用事业基金弥补收支差额</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26</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　结余分配</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55</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　年初结转和结余</w:t>
            </w: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27</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　年末结转和结余</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56</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8"/>
                <w:szCs w:val="18"/>
                <w:lang w:val="en-US" w:eastAsia="zh-CN"/>
              </w:rPr>
            </w:pPr>
            <w:r>
              <w:rPr>
                <w:rFonts w:hint="eastAsia" w:ascii="宋体" w:cs="Times New Roman"/>
                <w:color w:val="000000"/>
                <w:sz w:val="18"/>
                <w:szCs w:val="18"/>
                <w:lang w:val="en-US" w:eastAsia="zh-CN"/>
              </w:rPr>
              <w:t>0</w:t>
            </w: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4" w:space="0"/>
              <w:right w:val="single" w:color="000000" w:sz="4" w:space="0"/>
            </w:tcBorders>
            <w:vAlign w:val="center"/>
          </w:tcPr>
          <w:p>
            <w:pPr>
              <w:jc w:val="center"/>
              <w:rPr>
                <w:rFonts w:ascii="宋体" w:cs="Times New Roman"/>
                <w:color w:val="00000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28</w:t>
            </w:r>
          </w:p>
        </w:tc>
        <w:tc>
          <w:tcPr>
            <w:tcW w:w="673"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8"/>
                <w:szCs w:val="18"/>
              </w:rPr>
            </w:pPr>
          </w:p>
        </w:tc>
        <w:tc>
          <w:tcPr>
            <w:tcW w:w="2612" w:type="dxa"/>
            <w:gridSpan w:val="3"/>
            <w:tcBorders>
              <w:top w:val="single" w:color="000000" w:sz="4" w:space="0"/>
              <w:left w:val="single" w:color="000000" w:sz="4" w:space="0"/>
              <w:bottom w:val="single" w:color="000000" w:sz="4" w:space="0"/>
              <w:right w:val="single" w:color="000000" w:sz="4" w:space="0"/>
            </w:tcBorders>
            <w:vAlign w:val="center"/>
          </w:tcPr>
          <w:p>
            <w:pPr>
              <w:rPr>
                <w:rFonts w:ascii="宋体" w:cs="Times New Roman"/>
                <w:color w:val="000000"/>
                <w:sz w:val="18"/>
                <w:szCs w:val="18"/>
              </w:rPr>
            </w:pP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8"/>
                <w:szCs w:val="18"/>
              </w:rPr>
            </w:pPr>
            <w:r>
              <w:rPr>
                <w:rFonts w:ascii="宋体" w:hAnsi="宋体" w:cs="宋体"/>
                <w:color w:val="000000"/>
                <w:kern w:val="0"/>
                <w:sz w:val="18"/>
                <w:szCs w:val="18"/>
              </w:rPr>
              <w:t>57</w:t>
            </w:r>
          </w:p>
        </w:tc>
        <w:tc>
          <w:tcPr>
            <w:tcW w:w="1832" w:type="dxa"/>
            <w:gridSpan w:val="4"/>
            <w:tcBorders>
              <w:top w:val="single" w:color="000000" w:sz="4" w:space="0"/>
              <w:left w:val="single" w:color="000000" w:sz="4" w:space="0"/>
              <w:bottom w:val="single" w:color="000000" w:sz="4" w:space="0"/>
              <w:right w:val="single" w:color="000000" w:sz="12" w:space="0"/>
            </w:tcBorders>
            <w:vAlign w:val="center"/>
          </w:tcPr>
          <w:p>
            <w:pPr>
              <w:rPr>
                <w:rFonts w:ascii="宋体" w:cs="Times New Roman"/>
                <w:color w:val="000000"/>
                <w:sz w:val="18"/>
                <w:szCs w:val="18"/>
              </w:rPr>
            </w:pPr>
          </w:p>
        </w:tc>
      </w:tr>
      <w:tr>
        <w:tblPrEx>
          <w:tblLayout w:type="fixed"/>
          <w:tblCellMar>
            <w:top w:w="15" w:type="dxa"/>
            <w:left w:w="15" w:type="dxa"/>
            <w:bottom w:w="15" w:type="dxa"/>
            <w:right w:w="15" w:type="dxa"/>
          </w:tblCellMar>
        </w:tblPrEx>
        <w:trPr>
          <w:gridAfter w:val="1"/>
          <w:wAfter w:w="92" w:type="dxa"/>
          <w:trHeight w:val="300" w:hRule="atLeast"/>
        </w:trPr>
        <w:tc>
          <w:tcPr>
            <w:tcW w:w="1186"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Times New Roman"/>
                <w:b/>
                <w:bCs/>
                <w:color w:val="000000"/>
                <w:sz w:val="18"/>
                <w:szCs w:val="18"/>
              </w:rPr>
            </w:pPr>
            <w:r>
              <w:rPr>
                <w:rFonts w:hint="eastAsia" w:ascii="宋体" w:hAnsi="宋体" w:cs="宋体"/>
                <w:b/>
                <w:bCs/>
                <w:color w:val="000000"/>
                <w:kern w:val="0"/>
                <w:sz w:val="18"/>
                <w:szCs w:val="18"/>
              </w:rPr>
              <w:t>总计</w:t>
            </w:r>
          </w:p>
        </w:tc>
        <w:tc>
          <w:tcPr>
            <w:tcW w:w="506"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8"/>
                <w:szCs w:val="18"/>
              </w:rPr>
            </w:pPr>
            <w:r>
              <w:rPr>
                <w:rFonts w:ascii="宋体" w:hAnsi="宋体" w:cs="宋体"/>
                <w:b/>
                <w:bCs/>
                <w:color w:val="000000"/>
                <w:kern w:val="0"/>
                <w:sz w:val="18"/>
                <w:szCs w:val="18"/>
              </w:rPr>
              <w:t>29</w:t>
            </w:r>
          </w:p>
        </w:tc>
        <w:tc>
          <w:tcPr>
            <w:tcW w:w="673"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bCs/>
                <w:color w:val="000000"/>
                <w:sz w:val="18"/>
                <w:szCs w:val="18"/>
                <w:lang w:eastAsia="zh-CN"/>
              </w:rPr>
            </w:pPr>
            <w:r>
              <w:rPr>
                <w:rFonts w:hint="eastAsia" w:ascii="宋体" w:cs="Times New Roman"/>
                <w:b/>
                <w:bCs/>
                <w:color w:val="000000"/>
                <w:sz w:val="18"/>
                <w:szCs w:val="18"/>
                <w:lang w:val="en-US" w:eastAsia="zh-CN"/>
              </w:rPr>
              <w:t>216.25</w:t>
            </w:r>
          </w:p>
        </w:tc>
        <w:tc>
          <w:tcPr>
            <w:tcW w:w="2612"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8"/>
                <w:szCs w:val="18"/>
              </w:rPr>
            </w:pPr>
            <w:r>
              <w:rPr>
                <w:rFonts w:hint="eastAsia" w:ascii="宋体" w:hAnsi="宋体" w:cs="宋体"/>
                <w:b/>
                <w:bCs/>
                <w:color w:val="000000"/>
                <w:kern w:val="0"/>
                <w:sz w:val="18"/>
                <w:szCs w:val="18"/>
              </w:rPr>
              <w:t>总计</w:t>
            </w:r>
          </w:p>
        </w:tc>
        <w:tc>
          <w:tcPr>
            <w:tcW w:w="930" w:type="dxa"/>
            <w:gridSpan w:val="3"/>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8"/>
                <w:szCs w:val="18"/>
              </w:rPr>
            </w:pPr>
            <w:r>
              <w:rPr>
                <w:rFonts w:ascii="宋体" w:hAnsi="宋体" w:cs="宋体"/>
                <w:b/>
                <w:bCs/>
                <w:color w:val="000000"/>
                <w:kern w:val="0"/>
                <w:sz w:val="18"/>
                <w:szCs w:val="18"/>
              </w:rPr>
              <w:t>58</w:t>
            </w:r>
          </w:p>
        </w:tc>
        <w:tc>
          <w:tcPr>
            <w:tcW w:w="1832" w:type="dxa"/>
            <w:gridSpan w:val="4"/>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bCs/>
                <w:color w:val="000000"/>
                <w:sz w:val="18"/>
                <w:szCs w:val="18"/>
                <w:lang w:val="en-US" w:eastAsia="zh-CN"/>
              </w:rPr>
            </w:pPr>
            <w:r>
              <w:rPr>
                <w:rFonts w:hint="eastAsia" w:ascii="宋体" w:cs="Times New Roman"/>
                <w:b/>
                <w:bCs/>
                <w:color w:val="000000"/>
                <w:sz w:val="18"/>
                <w:szCs w:val="18"/>
                <w:lang w:val="en-US" w:eastAsia="zh-CN"/>
              </w:rPr>
              <w:t>216.25</w:t>
            </w:r>
          </w:p>
        </w:tc>
      </w:tr>
      <w:tr>
        <w:tblPrEx>
          <w:tblLayout w:type="fixed"/>
          <w:tblCellMar>
            <w:top w:w="15" w:type="dxa"/>
            <w:left w:w="15" w:type="dxa"/>
            <w:bottom w:w="15" w:type="dxa"/>
            <w:right w:w="15" w:type="dxa"/>
          </w:tblCellMar>
        </w:tblPrEx>
        <w:trPr>
          <w:gridAfter w:val="2"/>
          <w:wAfter w:w="839" w:type="dxa"/>
          <w:trHeight w:val="555" w:hRule="atLeast"/>
        </w:trPr>
        <w:tc>
          <w:tcPr>
            <w:tcW w:w="6667" w:type="dxa"/>
            <w:gridSpan w:val="12"/>
            <w:vAlign w:val="center"/>
          </w:tcPr>
          <w:p>
            <w:pPr>
              <w:widowControl/>
              <w:jc w:val="left"/>
              <w:textAlignment w:val="center"/>
              <w:rPr>
                <w:rFonts w:ascii="宋体" w:cs="Times New Roman"/>
                <w:color w:val="000000"/>
                <w:sz w:val="18"/>
                <w:szCs w:val="18"/>
              </w:rPr>
            </w:pPr>
            <w:r>
              <w:rPr>
                <w:rFonts w:hint="eastAsia" w:ascii="宋体" w:hAnsi="宋体" w:cs="宋体"/>
                <w:color w:val="000000"/>
                <w:kern w:val="0"/>
                <w:sz w:val="18"/>
                <w:szCs w:val="18"/>
              </w:rPr>
              <w:t>注：本表反映部门本年度的总收支和年末结转结余情况。</w:t>
            </w:r>
          </w:p>
        </w:tc>
        <w:tc>
          <w:tcPr>
            <w:tcW w:w="325" w:type="dxa"/>
            <w:gridSpan w:val="2"/>
            <w:vAlign w:val="center"/>
          </w:tcPr>
          <w:p>
            <w:pPr>
              <w:widowControl/>
              <w:jc w:val="left"/>
              <w:textAlignment w:val="center"/>
              <w:rPr>
                <w:rFonts w:hint="eastAsia" w:ascii="宋体" w:hAnsi="宋体" w:cs="宋体"/>
                <w:color w:val="000000"/>
                <w:kern w:val="0"/>
                <w:sz w:val="18"/>
                <w:szCs w:val="18"/>
              </w:rPr>
            </w:pPr>
          </w:p>
        </w:tc>
      </w:tr>
    </w:tbl>
    <w:p>
      <w:pPr>
        <w:spacing w:line="360" w:lineRule="auto"/>
        <w:rPr>
          <w:rFonts w:ascii="隶书" w:hAnsi="隶书" w:eastAsia="隶书" w:cs="Times New Roman"/>
          <w:sz w:val="52"/>
          <w:szCs w:val="52"/>
        </w:rPr>
        <w:sectPr>
          <w:pgSz w:w="11906" w:h="16838"/>
          <w:pgMar w:top="1440" w:right="1800" w:bottom="1440" w:left="1800" w:header="851" w:footer="992" w:gutter="0"/>
          <w:pgNumType w:fmt="numberInDash"/>
          <w:cols w:space="425" w:num="1"/>
          <w:docGrid w:type="lines" w:linePitch="312" w:charSpace="0"/>
        </w:sectPr>
      </w:pPr>
    </w:p>
    <w:tbl>
      <w:tblPr>
        <w:tblStyle w:val="5"/>
        <w:tblW w:w="10050" w:type="dxa"/>
        <w:tblInd w:w="-13" w:type="dxa"/>
        <w:tblLayout w:type="fixed"/>
        <w:tblCellMar>
          <w:top w:w="15" w:type="dxa"/>
          <w:left w:w="15" w:type="dxa"/>
          <w:bottom w:w="15" w:type="dxa"/>
          <w:right w:w="15" w:type="dxa"/>
        </w:tblCellMar>
      </w:tblPr>
      <w:tblGrid>
        <w:gridCol w:w="824"/>
        <w:gridCol w:w="813"/>
        <w:gridCol w:w="1422"/>
        <w:gridCol w:w="1020"/>
        <w:gridCol w:w="498"/>
        <w:gridCol w:w="462"/>
        <w:gridCol w:w="498"/>
        <w:gridCol w:w="418"/>
        <w:gridCol w:w="542"/>
        <w:gridCol w:w="552"/>
        <w:gridCol w:w="408"/>
        <w:gridCol w:w="553"/>
        <w:gridCol w:w="133"/>
        <w:gridCol w:w="274"/>
        <w:gridCol w:w="643"/>
        <w:gridCol w:w="177"/>
        <w:gridCol w:w="783"/>
        <w:gridCol w:w="30"/>
      </w:tblGrid>
      <w:tr>
        <w:tblPrEx>
          <w:tblLayout w:type="fixed"/>
          <w:tblCellMar>
            <w:top w:w="15" w:type="dxa"/>
            <w:left w:w="15" w:type="dxa"/>
            <w:bottom w:w="15" w:type="dxa"/>
            <w:right w:w="15" w:type="dxa"/>
          </w:tblCellMar>
        </w:tblPrEx>
        <w:trPr>
          <w:gridAfter w:val="1"/>
          <w:wAfter w:w="30" w:type="dxa"/>
          <w:trHeight w:val="375" w:hRule="atLeast"/>
        </w:trPr>
        <w:tc>
          <w:tcPr>
            <w:tcW w:w="10020" w:type="dxa"/>
            <w:gridSpan w:val="17"/>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收入决算表</w:t>
            </w:r>
          </w:p>
        </w:tc>
      </w:tr>
      <w:tr>
        <w:tblPrEx>
          <w:tblLayout w:type="fixed"/>
          <w:tblCellMar>
            <w:top w:w="15" w:type="dxa"/>
            <w:left w:w="15" w:type="dxa"/>
            <w:bottom w:w="15" w:type="dxa"/>
            <w:right w:w="15" w:type="dxa"/>
          </w:tblCellMar>
        </w:tblPrEx>
        <w:trPr>
          <w:gridAfter w:val="1"/>
          <w:wAfter w:w="30" w:type="dxa"/>
          <w:trHeight w:val="285" w:hRule="atLeast"/>
        </w:trPr>
        <w:tc>
          <w:tcPr>
            <w:tcW w:w="1637" w:type="dxa"/>
            <w:gridSpan w:val="2"/>
            <w:vAlign w:val="center"/>
          </w:tcPr>
          <w:p>
            <w:pPr>
              <w:rPr>
                <w:rFonts w:ascii="宋体" w:cs="Times New Roman"/>
                <w:color w:val="000000"/>
                <w:sz w:val="20"/>
                <w:szCs w:val="20"/>
              </w:rPr>
            </w:pPr>
          </w:p>
        </w:tc>
        <w:tc>
          <w:tcPr>
            <w:tcW w:w="1422" w:type="dxa"/>
            <w:vAlign w:val="center"/>
          </w:tcPr>
          <w:p>
            <w:pPr>
              <w:rPr>
                <w:rFonts w:ascii="宋体" w:cs="Times New Roman"/>
                <w:color w:val="000000"/>
                <w:sz w:val="20"/>
                <w:szCs w:val="20"/>
              </w:rPr>
            </w:pPr>
          </w:p>
        </w:tc>
        <w:tc>
          <w:tcPr>
            <w:tcW w:w="1518" w:type="dxa"/>
            <w:gridSpan w:val="2"/>
            <w:vAlign w:val="center"/>
          </w:tcPr>
          <w:p>
            <w:pPr>
              <w:rPr>
                <w:rFonts w:ascii="宋体" w:cs="Times New Roman"/>
                <w:color w:val="000000"/>
                <w:sz w:val="20"/>
                <w:szCs w:val="20"/>
              </w:rPr>
            </w:pPr>
          </w:p>
        </w:tc>
        <w:tc>
          <w:tcPr>
            <w:tcW w:w="960" w:type="dxa"/>
            <w:gridSpan w:val="2"/>
            <w:vAlign w:val="center"/>
          </w:tcPr>
          <w:p>
            <w:pPr>
              <w:rPr>
                <w:rFonts w:ascii="宋体" w:cs="Times New Roman"/>
                <w:color w:val="000000"/>
                <w:sz w:val="20"/>
                <w:szCs w:val="20"/>
              </w:rPr>
            </w:pPr>
          </w:p>
        </w:tc>
        <w:tc>
          <w:tcPr>
            <w:tcW w:w="960" w:type="dxa"/>
            <w:gridSpan w:val="2"/>
            <w:vAlign w:val="center"/>
          </w:tcPr>
          <w:p>
            <w:pPr>
              <w:rPr>
                <w:rFonts w:ascii="宋体" w:cs="Times New Roman"/>
                <w:color w:val="000000"/>
                <w:sz w:val="20"/>
                <w:szCs w:val="20"/>
              </w:rPr>
            </w:pPr>
          </w:p>
        </w:tc>
        <w:tc>
          <w:tcPr>
            <w:tcW w:w="960" w:type="dxa"/>
            <w:gridSpan w:val="2"/>
            <w:vAlign w:val="center"/>
          </w:tcPr>
          <w:p>
            <w:pPr>
              <w:rPr>
                <w:rFonts w:ascii="宋体" w:cs="Times New Roman"/>
                <w:color w:val="000000"/>
                <w:sz w:val="20"/>
                <w:szCs w:val="20"/>
              </w:rPr>
            </w:pPr>
          </w:p>
        </w:tc>
        <w:tc>
          <w:tcPr>
            <w:tcW w:w="960" w:type="dxa"/>
            <w:gridSpan w:val="3"/>
            <w:vAlign w:val="center"/>
          </w:tcPr>
          <w:p>
            <w:pPr>
              <w:rPr>
                <w:rFonts w:ascii="宋体" w:cs="Times New Roman"/>
                <w:color w:val="000000"/>
                <w:sz w:val="20"/>
                <w:szCs w:val="20"/>
              </w:rPr>
            </w:pPr>
          </w:p>
        </w:tc>
        <w:tc>
          <w:tcPr>
            <w:tcW w:w="643" w:type="dxa"/>
            <w:vAlign w:val="center"/>
          </w:tcPr>
          <w:p>
            <w:pPr>
              <w:rPr>
                <w:rFonts w:ascii="宋体" w:cs="Times New Roman"/>
                <w:color w:val="000000"/>
                <w:sz w:val="20"/>
                <w:szCs w:val="20"/>
              </w:rPr>
            </w:pPr>
          </w:p>
        </w:tc>
        <w:tc>
          <w:tcPr>
            <w:tcW w:w="960" w:type="dxa"/>
            <w:gridSpan w:val="2"/>
            <w:vAlign w:val="center"/>
          </w:tcPr>
          <w:p>
            <w:pPr>
              <w:widowControl/>
              <w:jc w:val="both"/>
              <w:textAlignment w:val="center"/>
              <w:rPr>
                <w:rFonts w:ascii="宋体" w:cs="Times New Roman"/>
                <w:color w:val="00000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02</w:t>
            </w:r>
            <w:r>
              <w:rPr>
                <w:rFonts w:hint="eastAsia" w:ascii="宋体" w:hAnsi="宋体" w:cs="宋体"/>
                <w:color w:val="000000"/>
                <w:kern w:val="0"/>
                <w:sz w:val="20"/>
                <w:szCs w:val="20"/>
              </w:rPr>
              <w:t>表</w:t>
            </w:r>
          </w:p>
        </w:tc>
      </w:tr>
      <w:tr>
        <w:tblPrEx>
          <w:tblLayout w:type="fixed"/>
          <w:tblCellMar>
            <w:top w:w="15" w:type="dxa"/>
            <w:left w:w="15" w:type="dxa"/>
            <w:bottom w:w="15" w:type="dxa"/>
            <w:right w:w="15" w:type="dxa"/>
          </w:tblCellMar>
        </w:tblPrEx>
        <w:trPr>
          <w:gridAfter w:val="1"/>
          <w:wAfter w:w="30" w:type="dxa"/>
          <w:trHeight w:val="362" w:hRule="atLeast"/>
        </w:trPr>
        <w:tc>
          <w:tcPr>
            <w:tcW w:w="1637" w:type="dxa"/>
            <w:gridSpan w:val="2"/>
            <w:vAlign w:val="center"/>
          </w:tcPr>
          <w:p>
            <w:pPr>
              <w:rPr>
                <w:rFonts w:ascii="宋体" w:cs="Times New Roman"/>
                <w:color w:val="000000"/>
                <w:sz w:val="20"/>
                <w:szCs w:val="20"/>
              </w:rPr>
            </w:pPr>
          </w:p>
        </w:tc>
        <w:tc>
          <w:tcPr>
            <w:tcW w:w="1422" w:type="dxa"/>
            <w:vAlign w:val="center"/>
          </w:tcPr>
          <w:p>
            <w:pPr>
              <w:rPr>
                <w:rFonts w:ascii="宋体" w:cs="Times New Roman"/>
                <w:color w:val="000000"/>
                <w:sz w:val="20"/>
                <w:szCs w:val="20"/>
              </w:rPr>
            </w:pPr>
          </w:p>
        </w:tc>
        <w:tc>
          <w:tcPr>
            <w:tcW w:w="1518" w:type="dxa"/>
            <w:gridSpan w:val="2"/>
            <w:vAlign w:val="center"/>
          </w:tcPr>
          <w:p>
            <w:pPr>
              <w:rPr>
                <w:rFonts w:ascii="宋体" w:cs="Times New Roman"/>
                <w:color w:val="000000"/>
                <w:sz w:val="20"/>
                <w:szCs w:val="20"/>
              </w:rPr>
            </w:pPr>
          </w:p>
        </w:tc>
        <w:tc>
          <w:tcPr>
            <w:tcW w:w="960" w:type="dxa"/>
            <w:gridSpan w:val="2"/>
            <w:vAlign w:val="center"/>
          </w:tcPr>
          <w:p>
            <w:pPr>
              <w:rPr>
                <w:rFonts w:ascii="宋体" w:cs="Times New Roman"/>
                <w:color w:val="000000"/>
                <w:sz w:val="20"/>
                <w:szCs w:val="20"/>
              </w:rPr>
            </w:pPr>
          </w:p>
        </w:tc>
        <w:tc>
          <w:tcPr>
            <w:tcW w:w="960" w:type="dxa"/>
            <w:gridSpan w:val="2"/>
            <w:vAlign w:val="center"/>
          </w:tcPr>
          <w:p>
            <w:pPr>
              <w:rPr>
                <w:rFonts w:ascii="宋体" w:cs="Times New Roman"/>
                <w:color w:val="000000"/>
                <w:sz w:val="20"/>
                <w:szCs w:val="20"/>
              </w:rPr>
            </w:pPr>
          </w:p>
        </w:tc>
        <w:tc>
          <w:tcPr>
            <w:tcW w:w="960" w:type="dxa"/>
            <w:gridSpan w:val="2"/>
            <w:vAlign w:val="center"/>
          </w:tcPr>
          <w:p>
            <w:pPr>
              <w:rPr>
                <w:rFonts w:ascii="宋体" w:cs="Times New Roman"/>
                <w:color w:val="000000"/>
                <w:sz w:val="20"/>
                <w:szCs w:val="20"/>
              </w:rPr>
            </w:pPr>
          </w:p>
        </w:tc>
        <w:tc>
          <w:tcPr>
            <w:tcW w:w="960" w:type="dxa"/>
            <w:gridSpan w:val="3"/>
            <w:vAlign w:val="center"/>
          </w:tcPr>
          <w:p>
            <w:pPr>
              <w:rPr>
                <w:rFonts w:ascii="宋体" w:cs="Times New Roman"/>
                <w:color w:val="000000"/>
                <w:sz w:val="20"/>
                <w:szCs w:val="20"/>
              </w:rPr>
            </w:pPr>
          </w:p>
        </w:tc>
        <w:tc>
          <w:tcPr>
            <w:tcW w:w="643" w:type="dxa"/>
            <w:vAlign w:val="center"/>
          </w:tcPr>
          <w:p>
            <w:pPr>
              <w:rPr>
                <w:rFonts w:ascii="宋体" w:cs="Times New Roman"/>
                <w:color w:val="000000"/>
                <w:sz w:val="20"/>
                <w:szCs w:val="20"/>
              </w:rPr>
            </w:pPr>
          </w:p>
        </w:tc>
        <w:tc>
          <w:tcPr>
            <w:tcW w:w="960" w:type="dxa"/>
            <w:gridSpan w:val="2"/>
            <w:vAlign w:val="center"/>
          </w:tcPr>
          <w:p>
            <w:pPr>
              <w:widowControl/>
              <w:jc w:val="both"/>
              <w:textAlignment w:val="center"/>
              <w:rPr>
                <w:rFonts w:ascii="宋体" w:cs="Times New Roman"/>
                <w:color w:val="000000"/>
                <w:sz w:val="20"/>
                <w:szCs w:val="20"/>
              </w:rPr>
            </w:pPr>
            <w:r>
              <w:rPr>
                <w:rFonts w:hint="eastAsia" w:ascii="宋体" w:hAnsi="宋体" w:cs="宋体"/>
                <w:color w:val="000000"/>
                <w:kern w:val="0"/>
                <w:sz w:val="20"/>
                <w:szCs w:val="20"/>
              </w:rPr>
              <w:t>单位：万元</w:t>
            </w:r>
          </w:p>
        </w:tc>
      </w:tr>
      <w:tr>
        <w:tblPrEx>
          <w:tblLayout w:type="fixed"/>
          <w:tblCellMar>
            <w:top w:w="15" w:type="dxa"/>
            <w:left w:w="15" w:type="dxa"/>
            <w:bottom w:w="15" w:type="dxa"/>
            <w:right w:w="15" w:type="dxa"/>
          </w:tblCellMar>
        </w:tblPrEx>
        <w:trPr>
          <w:gridAfter w:val="1"/>
          <w:wAfter w:w="30" w:type="dxa"/>
          <w:trHeight w:val="285" w:hRule="atLeast"/>
        </w:trPr>
        <w:tc>
          <w:tcPr>
            <w:tcW w:w="3059"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项</w:t>
            </w:r>
            <w:r>
              <w:rPr>
                <w:rFonts w:ascii="宋体" w:hAnsi="宋体" w:cs="宋体"/>
                <w:b/>
                <w:bCs/>
                <w:color w:val="000000"/>
                <w:kern w:val="0"/>
                <w:sz w:val="20"/>
                <w:szCs w:val="20"/>
              </w:rPr>
              <w:t xml:space="preserve"> </w:t>
            </w:r>
            <w:r>
              <w:rPr>
                <w:rFonts w:hint="eastAsia" w:ascii="宋体" w:hAnsi="宋体" w:cs="宋体"/>
                <w:b/>
                <w:bCs/>
                <w:color w:val="000000"/>
                <w:kern w:val="0"/>
                <w:sz w:val="20"/>
                <w:szCs w:val="20"/>
              </w:rPr>
              <w:t>目</w:t>
            </w:r>
          </w:p>
        </w:tc>
        <w:tc>
          <w:tcPr>
            <w:tcW w:w="1020"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本年收入合计</w:t>
            </w:r>
          </w:p>
        </w:tc>
        <w:tc>
          <w:tcPr>
            <w:tcW w:w="96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财政拨款收入</w:t>
            </w:r>
          </w:p>
        </w:tc>
        <w:tc>
          <w:tcPr>
            <w:tcW w:w="916"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上级补助收入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事业收入</w:t>
            </w:r>
          </w:p>
        </w:tc>
        <w:tc>
          <w:tcPr>
            <w:tcW w:w="961"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经营收入</w:t>
            </w:r>
          </w:p>
        </w:tc>
        <w:tc>
          <w:tcPr>
            <w:tcW w:w="1050"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附属单位</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上缴收入</w:t>
            </w:r>
          </w:p>
        </w:tc>
        <w:tc>
          <w:tcPr>
            <w:tcW w:w="960" w:type="dxa"/>
            <w:gridSpan w:val="2"/>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其他收入</w:t>
            </w:r>
          </w:p>
        </w:tc>
      </w:tr>
      <w:tr>
        <w:tblPrEx>
          <w:tblLayout w:type="fixed"/>
          <w:tblCellMar>
            <w:top w:w="15" w:type="dxa"/>
            <w:left w:w="15" w:type="dxa"/>
            <w:bottom w:w="15" w:type="dxa"/>
            <w:right w:w="15" w:type="dxa"/>
          </w:tblCellMar>
        </w:tblPrEx>
        <w:trPr>
          <w:gridAfter w:val="1"/>
          <w:wAfter w:w="30" w:type="dxa"/>
          <w:trHeight w:val="420"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功能分类</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科目编码</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科目名称</w:t>
            </w:r>
          </w:p>
        </w:tc>
        <w:tc>
          <w:tcPr>
            <w:tcW w:w="1020"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60"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16"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61"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050"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60" w:type="dxa"/>
            <w:gridSpan w:val="2"/>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20"/>
                <w:szCs w:val="20"/>
              </w:rPr>
            </w:pPr>
          </w:p>
        </w:tc>
      </w:tr>
      <w:tr>
        <w:tblPrEx>
          <w:tblLayout w:type="fixed"/>
        </w:tblPrEx>
        <w:trPr>
          <w:gridAfter w:val="1"/>
          <w:wAfter w:w="30" w:type="dxa"/>
          <w:trHeight w:val="285" w:hRule="atLeast"/>
        </w:trPr>
        <w:tc>
          <w:tcPr>
            <w:tcW w:w="3059"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栏次</w:t>
            </w:r>
          </w:p>
        </w:tc>
        <w:tc>
          <w:tcPr>
            <w:tcW w:w="1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1</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2</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3</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4</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5</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6</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7</w:t>
            </w:r>
          </w:p>
        </w:tc>
      </w:tr>
      <w:tr>
        <w:tblPrEx>
          <w:tblLayout w:type="fixed"/>
          <w:tblCellMar>
            <w:top w:w="15" w:type="dxa"/>
            <w:left w:w="15" w:type="dxa"/>
            <w:bottom w:w="15" w:type="dxa"/>
            <w:right w:w="15" w:type="dxa"/>
          </w:tblCellMar>
        </w:tblPrEx>
        <w:trPr>
          <w:gridAfter w:val="1"/>
          <w:wAfter w:w="30" w:type="dxa"/>
          <w:trHeight w:val="90" w:hRule="atLeast"/>
        </w:trPr>
        <w:tc>
          <w:tcPr>
            <w:tcW w:w="3059"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合计</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216.25</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216.25</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285"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201</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一般公共服务支出</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197.40</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197.40</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285"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201</w:t>
            </w:r>
            <w:r>
              <w:rPr>
                <w:rFonts w:hint="eastAsia" w:ascii="宋体" w:hAnsi="宋体" w:cs="宋体"/>
                <w:color w:val="000000"/>
                <w:kern w:val="0"/>
                <w:sz w:val="20"/>
                <w:szCs w:val="20"/>
                <w:lang w:val="en-US" w:eastAsia="zh-CN"/>
              </w:rPr>
              <w:t>13</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lang w:eastAsia="zh-CN"/>
              </w:rPr>
              <w:t>商贸</w:t>
            </w:r>
            <w:r>
              <w:rPr>
                <w:rFonts w:hint="eastAsia" w:ascii="宋体" w:hAnsi="宋体" w:cs="宋体"/>
                <w:color w:val="000000"/>
                <w:kern w:val="0"/>
                <w:sz w:val="20"/>
                <w:szCs w:val="20"/>
              </w:rPr>
              <w:t>事务</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15</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15</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90"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2011308</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招商引资</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15</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15</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285"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20131</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党委办公厅及相关机构事务</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182.4</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182.4</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285"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201</w:t>
            </w:r>
            <w:r>
              <w:rPr>
                <w:rFonts w:hint="eastAsia" w:ascii="宋体" w:hAnsi="宋体" w:cs="宋体"/>
                <w:color w:val="000000"/>
                <w:kern w:val="0"/>
                <w:sz w:val="20"/>
                <w:szCs w:val="20"/>
                <w:lang w:val="en-US" w:eastAsia="zh-CN"/>
              </w:rPr>
              <w:t>3</w:t>
            </w:r>
            <w:r>
              <w:rPr>
                <w:rFonts w:ascii="宋体" w:hAnsi="宋体" w:cs="宋体"/>
                <w:color w:val="000000"/>
                <w:kern w:val="0"/>
                <w:sz w:val="20"/>
                <w:szCs w:val="20"/>
              </w:rPr>
              <w:t>101</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行政运行</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141.9</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141.9</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285"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2010102</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一般行政管理事务</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5</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5</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PrEx>
        <w:trPr>
          <w:gridAfter w:val="1"/>
          <w:wAfter w:w="30" w:type="dxa"/>
          <w:trHeight w:val="285"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2013105</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eastAsia="zh-CN"/>
              </w:rPr>
            </w:pPr>
            <w:r>
              <w:rPr>
                <w:rFonts w:hint="eastAsia" w:ascii="宋体" w:cs="Times New Roman"/>
                <w:color w:val="000000"/>
                <w:sz w:val="20"/>
                <w:szCs w:val="20"/>
                <w:lang w:eastAsia="zh-CN"/>
              </w:rPr>
              <w:t>专项业务</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35.5</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35.5</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285"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208</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eastAsia="zh-CN"/>
              </w:rPr>
            </w:pPr>
            <w:r>
              <w:rPr>
                <w:rFonts w:hint="eastAsia" w:ascii="宋体" w:cs="Times New Roman"/>
                <w:color w:val="000000"/>
                <w:sz w:val="20"/>
                <w:szCs w:val="20"/>
                <w:lang w:eastAsia="zh-CN"/>
              </w:rPr>
              <w:t>社会保障和就业支出</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6.57</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6.57</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420"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20803</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eastAsia="zh-CN"/>
              </w:rPr>
            </w:pPr>
            <w:r>
              <w:rPr>
                <w:rFonts w:hint="eastAsia" w:ascii="宋体" w:cs="Times New Roman"/>
                <w:color w:val="000000"/>
                <w:sz w:val="20"/>
                <w:szCs w:val="20"/>
                <w:lang w:eastAsia="zh-CN"/>
              </w:rPr>
              <w:t>财政对社会保险基金的补助</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0.12</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0.12</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420"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2080305</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eastAsia="zh-CN"/>
              </w:rPr>
            </w:pPr>
            <w:r>
              <w:rPr>
                <w:rFonts w:hint="eastAsia" w:ascii="宋体" w:cs="Times New Roman"/>
                <w:color w:val="000000"/>
                <w:sz w:val="20"/>
                <w:szCs w:val="20"/>
                <w:lang w:eastAsia="zh-CN"/>
              </w:rPr>
              <w:t>财政对生育保险基金的补助</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0.12</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0.12</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420"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201805</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eastAsia="zh-CN"/>
              </w:rPr>
            </w:pPr>
            <w:r>
              <w:rPr>
                <w:rFonts w:hint="eastAsia" w:ascii="宋体" w:cs="Times New Roman"/>
                <w:color w:val="000000"/>
                <w:sz w:val="20"/>
                <w:szCs w:val="20"/>
                <w:lang w:eastAsia="zh-CN"/>
              </w:rPr>
              <w:t>行政事业单位离退休</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6.45</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6.45</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420" w:hRule="atLeast"/>
        </w:trPr>
        <w:tc>
          <w:tcPr>
            <w:tcW w:w="82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2080501</w:t>
            </w:r>
          </w:p>
        </w:tc>
        <w:tc>
          <w:tcPr>
            <w:tcW w:w="223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20"/>
                <w:szCs w:val="20"/>
                <w:lang w:eastAsia="zh-CN"/>
              </w:rPr>
            </w:pPr>
            <w:r>
              <w:rPr>
                <w:rFonts w:hint="eastAsia" w:ascii="宋体" w:cs="Times New Roman"/>
                <w:color w:val="000000"/>
                <w:sz w:val="20"/>
                <w:szCs w:val="20"/>
                <w:lang w:eastAsia="zh-CN"/>
              </w:rPr>
              <w:t>归口管理的行政单位离退休</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6.45</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6.45</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1"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6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gridAfter w:val="1"/>
          <w:wAfter w:w="30" w:type="dxa"/>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hint="eastAsia" w:ascii="宋体" w:eastAsia="宋体" w:cs="Times New Roman"/>
                <w:b w:val="0"/>
                <w:bCs w:val="0"/>
                <w:color w:val="000000"/>
                <w:sz w:val="20"/>
                <w:szCs w:val="20"/>
                <w:shd w:val="clear" w:color="FFFFFF" w:fill="D9D9D9"/>
                <w:lang w:val="en-US" w:eastAsia="zh-CN"/>
              </w:rPr>
            </w:pPr>
            <w:r>
              <w:rPr>
                <w:rFonts w:hint="eastAsia" w:ascii="宋体" w:cs="Times New Roman"/>
                <w:b w:val="0"/>
                <w:bCs w:val="0"/>
                <w:color w:val="000000"/>
                <w:sz w:val="20"/>
                <w:szCs w:val="20"/>
                <w:shd w:val="clear" w:color="auto" w:fill="auto"/>
                <w:lang w:val="en-US" w:eastAsia="zh-CN"/>
              </w:rPr>
              <w:t>210</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hint="eastAsia" w:ascii="宋体" w:eastAsia="宋体" w:cs="Times New Roman"/>
                <w:b w:val="0"/>
                <w:bCs w:val="0"/>
                <w:color w:val="000000"/>
                <w:sz w:val="20"/>
                <w:szCs w:val="20"/>
                <w:shd w:val="clear" w:color="FFFFFF" w:fill="D9D9D9"/>
                <w:lang w:eastAsia="zh-CN"/>
              </w:rPr>
            </w:pPr>
            <w:r>
              <w:rPr>
                <w:rFonts w:hint="eastAsia" w:ascii="宋体" w:cs="Times New Roman"/>
                <w:b w:val="0"/>
                <w:bCs w:val="0"/>
                <w:color w:val="000000"/>
                <w:sz w:val="20"/>
                <w:szCs w:val="20"/>
                <w:shd w:val="clear" w:color="auto" w:fill="auto"/>
                <w:lang w:eastAsia="zh-CN"/>
              </w:rPr>
              <w:t>医疗卫生与计划生育支出</w:t>
            </w:r>
          </w:p>
        </w:tc>
        <w:tc>
          <w:tcPr>
            <w:tcW w:w="1020" w:type="dxa"/>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1.63</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1.63</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1"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5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gridAfter w:val="1"/>
          <w:wAfter w:w="30" w:type="dxa"/>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21005</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医疗保障</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b w:val="0"/>
                <w:bCs w:val="0"/>
                <w:color w:val="000000"/>
                <w:sz w:val="20"/>
                <w:szCs w:val="20"/>
                <w:shd w:val="clear" w:color="FFFFFF" w:fill="D9D9D9"/>
              </w:rPr>
            </w:pPr>
            <w:r>
              <w:rPr>
                <w:rFonts w:hint="eastAsia" w:ascii="宋体" w:hAnsi="宋体" w:cs="宋体"/>
                <w:i w:val="0"/>
                <w:color w:val="000000"/>
                <w:kern w:val="0"/>
                <w:sz w:val="22"/>
                <w:szCs w:val="22"/>
                <w:u w:val="none"/>
                <w:lang w:val="en-US" w:eastAsia="zh-CN" w:bidi="ar"/>
              </w:rPr>
              <w:t>1.63</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1.63</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1"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5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gridAfter w:val="1"/>
          <w:wAfter w:w="30" w:type="dxa"/>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2100501</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 xml:space="preserve">  行政单位医疗</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1.63</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1.63</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1"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5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gridAfter w:val="1"/>
          <w:wAfter w:w="30" w:type="dxa"/>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211</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节能环保支出</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1"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5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gridAfter w:val="1"/>
          <w:wAfter w:w="30" w:type="dxa"/>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21103</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污染防治</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1"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5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gridAfter w:val="1"/>
          <w:wAfter w:w="30" w:type="dxa"/>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2110301</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 xml:space="preserve">  大气</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1"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5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96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221</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住房保障支出</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5.65</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5.65</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813"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22102</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b w:val="0"/>
                <w:bCs w:val="0"/>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住房改革支出</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5.65</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5.65</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1094"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c>
          <w:tcPr>
            <w:tcW w:w="813"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val="0"/>
                <w:bCs w:val="0"/>
                <w:color w:val="000000"/>
                <w:sz w:val="20"/>
                <w:szCs w:val="20"/>
                <w:shd w:val="clear" w:color="auto" w:fill="auto"/>
                <w:lang w:val="en-US" w:eastAsia="zh-CN"/>
              </w:rPr>
            </w:pPr>
            <w:r>
              <w:rPr>
                <w:rFonts w:hint="eastAsia" w:ascii="宋体" w:cs="Times New Roman"/>
                <w:b w:val="0"/>
                <w:bCs w:val="0"/>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trHeight w:val="435" w:hRule="atLeast"/>
        </w:trPr>
        <w:tc>
          <w:tcPr>
            <w:tcW w:w="824"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2210201</w:t>
            </w:r>
          </w:p>
        </w:tc>
        <w:tc>
          <w:tcPr>
            <w:tcW w:w="22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shd w:val="clear" w:color="FFFFFF" w:fill="D9D9D9"/>
              </w:rPr>
            </w:pPr>
            <w:r>
              <w:rPr>
                <w:rFonts w:hint="eastAsia" w:ascii="宋体" w:hAnsi="宋体" w:eastAsia="宋体" w:cs="宋体"/>
                <w:i w:val="0"/>
                <w:color w:val="000000"/>
                <w:kern w:val="0"/>
                <w:sz w:val="22"/>
                <w:szCs w:val="22"/>
                <w:u w:val="none"/>
                <w:lang w:val="en-US" w:eastAsia="zh-CN" w:bidi="ar"/>
              </w:rPr>
              <w:t xml:space="preserve">  住房公积金</w:t>
            </w:r>
          </w:p>
        </w:tc>
        <w:tc>
          <w:tcPr>
            <w:tcW w:w="102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20"/>
                <w:szCs w:val="20"/>
                <w:shd w:val="clear" w:color="auto" w:fill="auto"/>
                <w:lang w:val="en-US" w:eastAsia="zh-CN"/>
              </w:rPr>
            </w:pPr>
            <w:r>
              <w:rPr>
                <w:rFonts w:hint="eastAsia" w:ascii="宋体" w:cs="Times New Roman"/>
                <w:color w:val="000000"/>
                <w:sz w:val="20"/>
                <w:szCs w:val="20"/>
                <w:shd w:val="clear" w:color="auto" w:fill="auto"/>
                <w:lang w:val="en-US" w:eastAsia="zh-CN"/>
              </w:rPr>
              <w:t>5.65</w:t>
            </w:r>
          </w:p>
        </w:tc>
        <w:tc>
          <w:tcPr>
            <w:tcW w:w="9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20"/>
                <w:szCs w:val="20"/>
                <w:shd w:val="clear" w:color="auto" w:fill="auto"/>
                <w:lang w:val="en-US" w:eastAsia="zh-CN"/>
              </w:rPr>
            </w:pPr>
            <w:r>
              <w:rPr>
                <w:rFonts w:hint="eastAsia" w:ascii="宋体" w:cs="Times New Roman"/>
                <w:color w:val="000000"/>
                <w:sz w:val="20"/>
                <w:szCs w:val="20"/>
                <w:shd w:val="clear" w:color="auto" w:fill="auto"/>
                <w:lang w:val="en-US" w:eastAsia="zh-CN"/>
              </w:rPr>
              <w:t>5.65</w:t>
            </w:r>
          </w:p>
        </w:tc>
        <w:tc>
          <w:tcPr>
            <w:tcW w:w="916"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shd w:val="clear" w:color="auto" w:fill="auto"/>
                <w:lang w:val="en-US" w:eastAsia="zh-CN"/>
              </w:rPr>
            </w:pPr>
            <w:r>
              <w:rPr>
                <w:rFonts w:hint="eastAsia" w:ascii="宋体" w:cs="Times New Roman"/>
                <w:color w:val="000000"/>
                <w:sz w:val="20"/>
                <w:szCs w:val="20"/>
                <w:shd w:val="clear" w:color="auto" w:fill="auto"/>
                <w:lang w:val="en-US" w:eastAsia="zh-CN"/>
              </w:rPr>
              <w:t>0</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shd w:val="clear" w:color="auto" w:fill="auto"/>
                <w:lang w:val="en-US" w:eastAsia="zh-CN"/>
              </w:rPr>
            </w:pPr>
            <w:r>
              <w:rPr>
                <w:rFonts w:hint="eastAsia" w:ascii="宋体" w:cs="Times New Roman"/>
                <w:color w:val="000000"/>
                <w:sz w:val="20"/>
                <w:szCs w:val="20"/>
                <w:shd w:val="clear" w:color="auto" w:fill="auto"/>
                <w:lang w:val="en-US" w:eastAsia="zh-CN"/>
              </w:rPr>
              <w:t>0</w:t>
            </w:r>
          </w:p>
        </w:tc>
        <w:tc>
          <w:tcPr>
            <w:tcW w:w="1094"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shd w:val="clear" w:color="auto" w:fill="auto"/>
                <w:lang w:val="en-US" w:eastAsia="zh-CN"/>
              </w:rPr>
            </w:pPr>
            <w:r>
              <w:rPr>
                <w:rFonts w:hint="eastAsia" w:ascii="宋体" w:cs="Times New Roman"/>
                <w:color w:val="000000"/>
                <w:sz w:val="20"/>
                <w:szCs w:val="20"/>
                <w:shd w:val="clear" w:color="auto" w:fill="auto"/>
                <w:lang w:val="en-US" w:eastAsia="zh-CN"/>
              </w:rPr>
              <w:t>0</w:t>
            </w:r>
          </w:p>
        </w:tc>
        <w:tc>
          <w:tcPr>
            <w:tcW w:w="1094"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shd w:val="clear" w:color="auto" w:fill="auto"/>
                <w:lang w:val="en-US" w:eastAsia="zh-CN"/>
              </w:rPr>
            </w:pPr>
            <w:r>
              <w:rPr>
                <w:rFonts w:hint="eastAsia" w:ascii="宋体" w:cs="Times New Roman"/>
                <w:color w:val="000000"/>
                <w:sz w:val="20"/>
                <w:szCs w:val="20"/>
                <w:shd w:val="clear" w:color="auto" w:fill="auto"/>
                <w:lang w:val="en-US" w:eastAsia="zh-CN"/>
              </w:rPr>
              <w:t>0</w:t>
            </w:r>
          </w:p>
        </w:tc>
        <w:tc>
          <w:tcPr>
            <w:tcW w:w="813"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color w:val="000000"/>
                <w:sz w:val="20"/>
                <w:szCs w:val="20"/>
                <w:shd w:val="clear" w:color="auto" w:fill="auto"/>
                <w:lang w:val="en-US" w:eastAsia="zh-CN"/>
              </w:rPr>
            </w:pPr>
            <w:r>
              <w:rPr>
                <w:rFonts w:hint="eastAsia" w:ascii="宋体" w:cs="Times New Roman"/>
                <w:color w:val="000000"/>
                <w:sz w:val="20"/>
                <w:szCs w:val="20"/>
                <w:shd w:val="clear" w:color="auto" w:fill="auto"/>
                <w:lang w:val="en-US" w:eastAsia="zh-CN"/>
              </w:rPr>
              <w:t>0</w:t>
            </w:r>
          </w:p>
        </w:tc>
      </w:tr>
      <w:tr>
        <w:tblPrEx>
          <w:tblLayout w:type="fixed"/>
          <w:tblCellMar>
            <w:top w:w="15" w:type="dxa"/>
            <w:left w:w="15" w:type="dxa"/>
            <w:bottom w:w="15" w:type="dxa"/>
            <w:right w:w="15" w:type="dxa"/>
          </w:tblCellMar>
        </w:tblPrEx>
        <w:trPr>
          <w:trHeight w:val="285" w:hRule="atLeast"/>
        </w:trPr>
        <w:tc>
          <w:tcPr>
            <w:tcW w:w="10050" w:type="dxa"/>
            <w:gridSpan w:val="18"/>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注：本表反映部门本年度取得的各项收入情况。</w:t>
            </w:r>
          </w:p>
        </w:tc>
      </w:tr>
    </w:tbl>
    <w:p>
      <w:pPr>
        <w:spacing w:line="360" w:lineRule="auto"/>
        <w:jc w:val="center"/>
        <w:rPr>
          <w:rFonts w:ascii="隶书" w:hAnsi="隶书" w:eastAsia="隶书" w:cs="Times New Roman"/>
          <w:sz w:val="20"/>
          <w:szCs w:val="20"/>
        </w:rPr>
        <w:sectPr>
          <w:pgSz w:w="11906" w:h="16838"/>
          <w:pgMar w:top="2098" w:right="1531" w:bottom="1984" w:left="1587" w:header="850" w:footer="992" w:gutter="0"/>
          <w:pgNumType w:fmt="numberInDash"/>
          <w:cols w:space="0" w:num="1"/>
          <w:docGrid w:type="lines" w:linePitch="317" w:charSpace="0"/>
        </w:sectPr>
      </w:pPr>
    </w:p>
    <w:tbl>
      <w:tblPr>
        <w:tblStyle w:val="5"/>
        <w:tblW w:w="10095" w:type="dxa"/>
        <w:tblInd w:w="-13" w:type="dxa"/>
        <w:tblLayout w:type="fixed"/>
        <w:tblCellMar>
          <w:top w:w="15" w:type="dxa"/>
          <w:left w:w="15" w:type="dxa"/>
          <w:bottom w:w="15" w:type="dxa"/>
          <w:right w:w="15" w:type="dxa"/>
        </w:tblCellMar>
      </w:tblPr>
      <w:tblGrid>
        <w:gridCol w:w="884"/>
        <w:gridCol w:w="255"/>
        <w:gridCol w:w="343"/>
        <w:gridCol w:w="1907"/>
        <w:gridCol w:w="773"/>
        <w:gridCol w:w="562"/>
        <w:gridCol w:w="437"/>
        <w:gridCol w:w="643"/>
        <w:gridCol w:w="356"/>
        <w:gridCol w:w="739"/>
        <w:gridCol w:w="260"/>
        <w:gridCol w:w="731"/>
        <w:gridCol w:w="1050"/>
        <w:gridCol w:w="1155"/>
      </w:tblGrid>
      <w:tr>
        <w:tblPrEx>
          <w:tblLayout w:type="fixed"/>
          <w:tblCellMar>
            <w:top w:w="15" w:type="dxa"/>
            <w:left w:w="15" w:type="dxa"/>
            <w:bottom w:w="15" w:type="dxa"/>
            <w:right w:w="15" w:type="dxa"/>
          </w:tblCellMar>
        </w:tblPrEx>
        <w:trPr>
          <w:trHeight w:val="375" w:hRule="atLeast"/>
        </w:trPr>
        <w:tc>
          <w:tcPr>
            <w:tcW w:w="10095" w:type="dxa"/>
            <w:gridSpan w:val="14"/>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支出决算表</w:t>
            </w:r>
          </w:p>
        </w:tc>
      </w:tr>
      <w:tr>
        <w:tblPrEx>
          <w:tblLayout w:type="fixed"/>
          <w:tblCellMar>
            <w:top w:w="15" w:type="dxa"/>
            <w:left w:w="15" w:type="dxa"/>
            <w:bottom w:w="15" w:type="dxa"/>
            <w:right w:w="15" w:type="dxa"/>
          </w:tblCellMar>
        </w:tblPrEx>
        <w:trPr>
          <w:trHeight w:val="315" w:hRule="atLeast"/>
        </w:trPr>
        <w:tc>
          <w:tcPr>
            <w:tcW w:w="1482" w:type="dxa"/>
            <w:gridSpan w:val="3"/>
            <w:vAlign w:val="center"/>
          </w:tcPr>
          <w:p>
            <w:pPr>
              <w:rPr>
                <w:rFonts w:ascii="宋体" w:cs="Times New Roman"/>
                <w:color w:val="000000"/>
                <w:sz w:val="16"/>
                <w:szCs w:val="16"/>
              </w:rPr>
            </w:pPr>
          </w:p>
        </w:tc>
        <w:tc>
          <w:tcPr>
            <w:tcW w:w="1907" w:type="dxa"/>
            <w:vAlign w:val="center"/>
          </w:tcPr>
          <w:p>
            <w:pPr>
              <w:rPr>
                <w:rFonts w:ascii="宋体" w:cs="Times New Roman"/>
                <w:color w:val="000000"/>
                <w:sz w:val="16"/>
                <w:szCs w:val="16"/>
              </w:rPr>
            </w:pPr>
          </w:p>
        </w:tc>
        <w:tc>
          <w:tcPr>
            <w:tcW w:w="773"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731" w:type="dxa"/>
            <w:vAlign w:val="center"/>
          </w:tcPr>
          <w:p>
            <w:pPr>
              <w:rPr>
                <w:rFonts w:ascii="宋体" w:cs="Times New Roman"/>
                <w:color w:val="000000"/>
                <w:sz w:val="16"/>
                <w:szCs w:val="16"/>
              </w:rPr>
            </w:pPr>
          </w:p>
        </w:tc>
        <w:tc>
          <w:tcPr>
            <w:tcW w:w="2205"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03</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482" w:type="dxa"/>
            <w:gridSpan w:val="3"/>
            <w:vAlign w:val="center"/>
          </w:tcPr>
          <w:p>
            <w:pPr>
              <w:rPr>
                <w:rFonts w:ascii="宋体" w:cs="Times New Roman"/>
                <w:color w:val="000000"/>
                <w:sz w:val="16"/>
                <w:szCs w:val="16"/>
              </w:rPr>
            </w:pPr>
          </w:p>
        </w:tc>
        <w:tc>
          <w:tcPr>
            <w:tcW w:w="1907" w:type="dxa"/>
            <w:vAlign w:val="center"/>
          </w:tcPr>
          <w:p>
            <w:pPr>
              <w:rPr>
                <w:rFonts w:ascii="宋体" w:cs="Times New Roman"/>
                <w:color w:val="000000"/>
                <w:sz w:val="16"/>
                <w:szCs w:val="16"/>
              </w:rPr>
            </w:pPr>
          </w:p>
        </w:tc>
        <w:tc>
          <w:tcPr>
            <w:tcW w:w="773"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731" w:type="dxa"/>
            <w:vAlign w:val="center"/>
          </w:tcPr>
          <w:p>
            <w:pPr>
              <w:rPr>
                <w:rFonts w:ascii="宋体" w:cs="Times New Roman"/>
                <w:color w:val="000000"/>
                <w:sz w:val="16"/>
                <w:szCs w:val="16"/>
              </w:rPr>
            </w:pPr>
          </w:p>
        </w:tc>
        <w:tc>
          <w:tcPr>
            <w:tcW w:w="2205"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389"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项　　目</w:t>
            </w:r>
          </w:p>
        </w:tc>
        <w:tc>
          <w:tcPr>
            <w:tcW w:w="133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本年支出合计</w:t>
            </w:r>
          </w:p>
        </w:tc>
        <w:tc>
          <w:tcPr>
            <w:tcW w:w="108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基本支出</w:t>
            </w:r>
          </w:p>
        </w:tc>
        <w:tc>
          <w:tcPr>
            <w:tcW w:w="109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项目支出</w:t>
            </w:r>
          </w:p>
        </w:tc>
        <w:tc>
          <w:tcPr>
            <w:tcW w:w="991"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上缴上级支出</w:t>
            </w:r>
          </w:p>
        </w:tc>
        <w:tc>
          <w:tcPr>
            <w:tcW w:w="1050"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经营支出</w:t>
            </w:r>
          </w:p>
        </w:tc>
        <w:tc>
          <w:tcPr>
            <w:tcW w:w="1155"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对附属单位</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补助支出</w:t>
            </w:r>
          </w:p>
        </w:tc>
      </w:tr>
      <w:tr>
        <w:tblPrEx>
          <w:tblLayout w:type="fixed"/>
          <w:tblCellMar>
            <w:top w:w="15" w:type="dxa"/>
            <w:left w:w="15" w:type="dxa"/>
            <w:bottom w:w="15" w:type="dxa"/>
            <w:right w:w="15" w:type="dxa"/>
          </w:tblCellMar>
        </w:tblPrEx>
        <w:trPr>
          <w:trHeight w:val="600" w:hRule="atLeast"/>
        </w:trPr>
        <w:tc>
          <w:tcPr>
            <w:tcW w:w="884"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功能分类</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科目编码</w:t>
            </w:r>
          </w:p>
        </w:tc>
        <w:tc>
          <w:tcPr>
            <w:tcW w:w="250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科目名称</w:t>
            </w:r>
          </w:p>
        </w:tc>
        <w:tc>
          <w:tcPr>
            <w:tcW w:w="133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080"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09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91"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050"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155"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20"/>
                <w:szCs w:val="20"/>
              </w:rPr>
            </w:pPr>
          </w:p>
        </w:tc>
      </w:tr>
      <w:tr>
        <w:tblPrEx>
          <w:tblLayout w:type="fixed"/>
        </w:tblPrEx>
        <w:trPr>
          <w:trHeight w:val="300" w:hRule="atLeast"/>
        </w:trPr>
        <w:tc>
          <w:tcPr>
            <w:tcW w:w="338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栏次</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1</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2</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3</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4</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5</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6</w:t>
            </w:r>
          </w:p>
        </w:tc>
      </w:tr>
      <w:tr>
        <w:tblPrEx>
          <w:tblLayout w:type="fixed"/>
          <w:tblCellMar>
            <w:top w:w="15" w:type="dxa"/>
            <w:left w:w="15" w:type="dxa"/>
            <w:bottom w:w="15" w:type="dxa"/>
            <w:right w:w="15" w:type="dxa"/>
          </w:tblCellMar>
        </w:tblPrEx>
        <w:trPr>
          <w:trHeight w:val="300" w:hRule="atLeast"/>
        </w:trPr>
        <w:tc>
          <w:tcPr>
            <w:tcW w:w="338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合计</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20"/>
                <w:szCs w:val="20"/>
              </w:rPr>
            </w:pPr>
            <w:r>
              <w:rPr>
                <w:rFonts w:hint="eastAsia" w:ascii="宋体" w:cs="Times New Roman"/>
                <w:b/>
                <w:bCs/>
                <w:color w:val="000000"/>
                <w:sz w:val="20"/>
                <w:szCs w:val="20"/>
                <w:lang w:val="en-US" w:eastAsia="zh-CN"/>
              </w:rPr>
              <w:t>216.25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20"/>
                <w:szCs w:val="20"/>
              </w:rPr>
            </w:pPr>
            <w:r>
              <w:rPr>
                <w:rFonts w:hint="eastAsia" w:ascii="宋体" w:cs="Times New Roman"/>
                <w:b/>
                <w:bCs/>
                <w:color w:val="000000"/>
                <w:sz w:val="20"/>
                <w:szCs w:val="20"/>
                <w:lang w:val="en-US" w:eastAsia="zh-CN"/>
              </w:rPr>
              <w:t>216.25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201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一般公共服务支出</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20"/>
                <w:szCs w:val="20"/>
              </w:rPr>
            </w:pPr>
            <w:r>
              <w:rPr>
                <w:rFonts w:hint="eastAsia" w:ascii="宋体" w:cs="Times New Roman"/>
                <w:b/>
                <w:bCs/>
                <w:color w:val="000000"/>
                <w:sz w:val="20"/>
                <w:szCs w:val="20"/>
                <w:lang w:val="en-US" w:eastAsia="zh-CN"/>
              </w:rPr>
              <w:t>197.40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20"/>
                <w:szCs w:val="20"/>
              </w:rPr>
            </w:pPr>
            <w:r>
              <w:rPr>
                <w:rFonts w:hint="eastAsia" w:ascii="宋体" w:cs="Times New Roman"/>
                <w:b/>
                <w:bCs/>
                <w:color w:val="000000"/>
                <w:sz w:val="20"/>
                <w:szCs w:val="20"/>
                <w:lang w:val="en-US" w:eastAsia="zh-CN"/>
              </w:rPr>
              <w:t>197.40</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20113</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商贸事务</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2011308</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 xml:space="preserve">  招商引资</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20131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党委办公厅（室）及相关机构事务</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182.4</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182.4</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2013101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 xml:space="preserve">  行政运行</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141.9</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141.9</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2013102</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 xml:space="preserve">  一般行政管理事务</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2013105</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 xml:space="preserve">  专项业务</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35.5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35.5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208</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社会保障和就业支出</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6.57</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6.57</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20803</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财政对社会保险基金的补助</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0.12</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0.12</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2080305</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 xml:space="preserve">  财政对生育保险基金的补助</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0.12</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r>
              <w:rPr>
                <w:rFonts w:hint="eastAsia" w:ascii="宋体" w:cs="Times New Roman"/>
                <w:color w:val="000000"/>
                <w:sz w:val="20"/>
                <w:szCs w:val="20"/>
                <w:lang w:val="en-US" w:eastAsia="zh-CN"/>
              </w:rPr>
              <w:t>0.12</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20805</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行政事业单位离退休</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kern w:val="0"/>
                <w:sz w:val="20"/>
                <w:szCs w:val="20"/>
              </w:rPr>
            </w:pPr>
            <w:r>
              <w:rPr>
                <w:rFonts w:hint="eastAsia" w:ascii="宋体" w:cs="Times New Roman"/>
                <w:color w:val="000000"/>
                <w:sz w:val="20"/>
                <w:szCs w:val="20"/>
                <w:lang w:val="en-US" w:eastAsia="zh-CN"/>
              </w:rPr>
              <w:t>6.45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kern w:val="0"/>
                <w:sz w:val="20"/>
                <w:szCs w:val="20"/>
              </w:rPr>
            </w:pPr>
            <w:r>
              <w:rPr>
                <w:rFonts w:hint="eastAsia" w:ascii="宋体" w:cs="Times New Roman"/>
                <w:color w:val="000000"/>
                <w:sz w:val="20"/>
                <w:szCs w:val="20"/>
                <w:lang w:val="en-US" w:eastAsia="zh-CN"/>
              </w:rPr>
              <w:t>6.45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2080501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归口管理的行政单位离退休</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kern w:val="0"/>
                <w:sz w:val="20"/>
                <w:szCs w:val="20"/>
              </w:rPr>
            </w:pPr>
            <w:r>
              <w:rPr>
                <w:rFonts w:hint="eastAsia" w:ascii="宋体" w:cs="Times New Roman"/>
                <w:color w:val="000000"/>
                <w:sz w:val="20"/>
                <w:szCs w:val="20"/>
                <w:lang w:val="en-US" w:eastAsia="zh-CN"/>
              </w:rPr>
              <w:t>6.45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kern w:val="0"/>
                <w:sz w:val="20"/>
                <w:szCs w:val="20"/>
              </w:rPr>
            </w:pPr>
            <w:r>
              <w:rPr>
                <w:rFonts w:hint="eastAsia" w:ascii="宋体" w:cs="Times New Roman"/>
                <w:color w:val="000000"/>
                <w:sz w:val="20"/>
                <w:szCs w:val="20"/>
                <w:lang w:val="en-US" w:eastAsia="zh-CN"/>
              </w:rPr>
              <w:t>6.45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210</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医疗卫生与计划生育支出</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1.63</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1.63</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21005</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医疗保障</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hAnsi="宋体" w:cs="宋体"/>
                <w:i w:val="0"/>
                <w:color w:val="000000"/>
                <w:kern w:val="0"/>
                <w:sz w:val="22"/>
                <w:szCs w:val="22"/>
                <w:u w:val="none"/>
                <w:lang w:val="en-US" w:eastAsia="zh-CN" w:bidi="ar"/>
              </w:rPr>
              <w:t>1.63</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1.63</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2100501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行政单位医疗</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1.63</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1.63</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211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节能环保支出</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21103</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污染防治</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2110301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大气</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221</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住房保障支出</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5.65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5.65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22102</w:t>
            </w:r>
          </w:p>
        </w:tc>
        <w:tc>
          <w:tcPr>
            <w:tcW w:w="22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20"/>
                <w:szCs w:val="20"/>
              </w:rPr>
            </w:pPr>
            <w:r>
              <w:rPr>
                <w:rFonts w:hint="eastAsia" w:ascii="宋体" w:hAnsi="宋体" w:eastAsia="宋体" w:cs="宋体"/>
                <w:i w:val="0"/>
                <w:color w:val="000000"/>
                <w:kern w:val="0"/>
                <w:sz w:val="22"/>
                <w:szCs w:val="22"/>
                <w:u w:val="none"/>
                <w:lang w:val="en-US" w:eastAsia="zh-CN" w:bidi="ar"/>
              </w:rPr>
              <w:t>住房改革支出</w:t>
            </w:r>
          </w:p>
        </w:tc>
        <w:tc>
          <w:tcPr>
            <w:tcW w:w="13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5.65</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20"/>
                <w:szCs w:val="20"/>
              </w:rPr>
            </w:pPr>
            <w:r>
              <w:rPr>
                <w:rFonts w:hint="eastAsia" w:ascii="宋体" w:cs="Times New Roman"/>
                <w:b w:val="0"/>
                <w:bCs w:val="0"/>
                <w:color w:val="000000"/>
                <w:sz w:val="20"/>
                <w:szCs w:val="20"/>
                <w:shd w:val="clear" w:color="auto" w:fill="auto"/>
                <w:lang w:val="en-US" w:eastAsia="zh-CN"/>
              </w:rPr>
              <w:t>5.65</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99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c>
          <w:tcPr>
            <w:tcW w:w="115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Times New Roman"/>
                <w:color w:val="000000"/>
                <w:kern w:val="0"/>
                <w:sz w:val="20"/>
                <w:szCs w:val="20"/>
                <w:lang w:val="en-US" w:eastAsia="zh-CN"/>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1139" w:type="dxa"/>
            <w:gridSpan w:val="2"/>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2210201</w:t>
            </w:r>
          </w:p>
        </w:tc>
        <w:tc>
          <w:tcPr>
            <w:tcW w:w="225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20"/>
                <w:szCs w:val="20"/>
              </w:rPr>
            </w:pPr>
            <w:r>
              <w:rPr>
                <w:rFonts w:hint="eastAsia" w:ascii="宋体" w:hAnsi="宋体" w:eastAsia="宋体" w:cs="宋体"/>
                <w:i w:val="0"/>
                <w:color w:val="000000"/>
                <w:kern w:val="0"/>
                <w:sz w:val="22"/>
                <w:szCs w:val="22"/>
                <w:u w:val="none"/>
                <w:lang w:val="en-US" w:eastAsia="zh-CN" w:bidi="ar"/>
              </w:rPr>
              <w:t xml:space="preserve">  住房公积金</w:t>
            </w:r>
          </w:p>
        </w:tc>
        <w:tc>
          <w:tcPr>
            <w:tcW w:w="13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20"/>
                <w:szCs w:val="20"/>
              </w:rPr>
            </w:pPr>
            <w:r>
              <w:rPr>
                <w:rFonts w:hint="eastAsia" w:ascii="宋体" w:cs="Times New Roman"/>
                <w:color w:val="000000"/>
                <w:sz w:val="20"/>
                <w:szCs w:val="20"/>
                <w:shd w:val="clear" w:color="auto" w:fill="auto"/>
                <w:lang w:val="en-US" w:eastAsia="zh-CN"/>
              </w:rPr>
              <w:t>5.65</w:t>
            </w:r>
          </w:p>
        </w:tc>
        <w:tc>
          <w:tcPr>
            <w:tcW w:w="108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20"/>
                <w:szCs w:val="20"/>
              </w:rPr>
            </w:pPr>
            <w:r>
              <w:rPr>
                <w:rFonts w:hint="eastAsia" w:ascii="宋体" w:cs="Times New Roman"/>
                <w:color w:val="000000"/>
                <w:sz w:val="20"/>
                <w:szCs w:val="20"/>
                <w:shd w:val="clear" w:color="auto" w:fill="auto"/>
                <w:lang w:val="en-US" w:eastAsia="zh-CN"/>
              </w:rPr>
              <w:t>5.65</w:t>
            </w:r>
          </w:p>
        </w:tc>
        <w:tc>
          <w:tcPr>
            <w:tcW w:w="109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991"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5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15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trHeight w:val="360" w:hRule="atLeast"/>
        </w:trPr>
        <w:tc>
          <w:tcPr>
            <w:tcW w:w="10095" w:type="dxa"/>
            <w:gridSpan w:val="14"/>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注：本表反映部门本年度各项支出情况。</w:t>
            </w:r>
          </w:p>
        </w:tc>
      </w:tr>
    </w:tbl>
    <w:p>
      <w:pPr>
        <w:spacing w:line="360" w:lineRule="auto"/>
        <w:jc w:val="center"/>
        <w:rPr>
          <w:rFonts w:ascii="隶书" w:hAnsi="隶书" w:eastAsia="隶书" w:cs="Times New Roman"/>
          <w:sz w:val="52"/>
          <w:szCs w:val="52"/>
        </w:rPr>
        <w:sectPr>
          <w:pgSz w:w="11906" w:h="16838"/>
          <w:pgMar w:top="2098" w:right="1474" w:bottom="1984" w:left="1587" w:header="850" w:footer="992" w:gutter="0"/>
          <w:pgNumType w:fmt="numberInDash"/>
          <w:cols w:space="0" w:num="1"/>
          <w:docGrid w:type="lines" w:linePitch="318" w:charSpace="0"/>
        </w:sectPr>
      </w:pPr>
    </w:p>
    <w:tbl>
      <w:tblPr>
        <w:tblStyle w:val="5"/>
        <w:tblW w:w="8265" w:type="dxa"/>
        <w:tblInd w:w="-13" w:type="dxa"/>
        <w:tblLayout w:type="fixed"/>
        <w:tblCellMar>
          <w:top w:w="15" w:type="dxa"/>
          <w:left w:w="15" w:type="dxa"/>
          <w:bottom w:w="15" w:type="dxa"/>
          <w:right w:w="15" w:type="dxa"/>
        </w:tblCellMar>
      </w:tblPr>
      <w:tblGrid>
        <w:gridCol w:w="1599"/>
        <w:gridCol w:w="107"/>
        <w:gridCol w:w="235"/>
        <w:gridCol w:w="69"/>
        <w:gridCol w:w="687"/>
        <w:gridCol w:w="1367"/>
        <w:gridCol w:w="236"/>
        <w:gridCol w:w="251"/>
        <w:gridCol w:w="313"/>
        <w:gridCol w:w="181"/>
        <w:gridCol w:w="579"/>
        <w:gridCol w:w="166"/>
        <w:gridCol w:w="840"/>
        <w:gridCol w:w="1141"/>
        <w:gridCol w:w="494"/>
      </w:tblGrid>
      <w:tr>
        <w:tblPrEx>
          <w:tblLayout w:type="fixed"/>
          <w:tblCellMar>
            <w:top w:w="15" w:type="dxa"/>
            <w:left w:w="15" w:type="dxa"/>
            <w:bottom w:w="15" w:type="dxa"/>
            <w:right w:w="15" w:type="dxa"/>
          </w:tblCellMar>
        </w:tblPrEx>
        <w:trPr>
          <w:trHeight w:val="169" w:hRule="atLeast"/>
        </w:trPr>
        <w:tc>
          <w:tcPr>
            <w:tcW w:w="8265" w:type="dxa"/>
            <w:gridSpan w:val="15"/>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财政拨款收入支出决算表</w:t>
            </w:r>
          </w:p>
        </w:tc>
      </w:tr>
      <w:tr>
        <w:tblPrEx>
          <w:tblLayout w:type="fixed"/>
          <w:tblCellMar>
            <w:top w:w="15" w:type="dxa"/>
            <w:left w:w="15" w:type="dxa"/>
            <w:bottom w:w="15" w:type="dxa"/>
            <w:right w:w="15" w:type="dxa"/>
          </w:tblCellMar>
        </w:tblPrEx>
        <w:trPr>
          <w:trHeight w:val="107" w:hRule="atLeast"/>
        </w:trPr>
        <w:tc>
          <w:tcPr>
            <w:tcW w:w="1706" w:type="dxa"/>
            <w:gridSpan w:val="2"/>
            <w:vAlign w:val="center"/>
          </w:tcPr>
          <w:p>
            <w:pPr>
              <w:rPr>
                <w:rFonts w:ascii="宋体" w:cs="Times New Roman"/>
                <w:color w:val="000000"/>
                <w:sz w:val="16"/>
                <w:szCs w:val="16"/>
              </w:rPr>
            </w:pPr>
          </w:p>
        </w:tc>
        <w:tc>
          <w:tcPr>
            <w:tcW w:w="235" w:type="dxa"/>
            <w:vAlign w:val="center"/>
          </w:tcPr>
          <w:p>
            <w:pPr>
              <w:rPr>
                <w:rFonts w:ascii="宋体" w:cs="Times New Roman"/>
                <w:color w:val="000000"/>
                <w:sz w:val="16"/>
                <w:szCs w:val="16"/>
              </w:rPr>
            </w:pPr>
          </w:p>
        </w:tc>
        <w:tc>
          <w:tcPr>
            <w:tcW w:w="756" w:type="dxa"/>
            <w:gridSpan w:val="2"/>
            <w:vAlign w:val="center"/>
          </w:tcPr>
          <w:p>
            <w:pPr>
              <w:rPr>
                <w:rFonts w:ascii="宋体" w:cs="Times New Roman"/>
                <w:color w:val="000000"/>
                <w:sz w:val="16"/>
                <w:szCs w:val="16"/>
              </w:rPr>
            </w:pPr>
          </w:p>
        </w:tc>
        <w:tc>
          <w:tcPr>
            <w:tcW w:w="1367" w:type="dxa"/>
            <w:vAlign w:val="center"/>
          </w:tcPr>
          <w:p>
            <w:pPr>
              <w:rPr>
                <w:rFonts w:ascii="宋体" w:cs="Times New Roman"/>
                <w:color w:val="000000"/>
                <w:sz w:val="16"/>
                <w:szCs w:val="16"/>
              </w:rPr>
            </w:pPr>
          </w:p>
        </w:tc>
        <w:tc>
          <w:tcPr>
            <w:tcW w:w="236" w:type="dxa"/>
            <w:vAlign w:val="center"/>
          </w:tcPr>
          <w:p>
            <w:pPr>
              <w:rPr>
                <w:rFonts w:ascii="宋体" w:cs="Times New Roman"/>
                <w:color w:val="000000"/>
                <w:sz w:val="16"/>
                <w:szCs w:val="16"/>
              </w:rPr>
            </w:pPr>
          </w:p>
        </w:tc>
        <w:tc>
          <w:tcPr>
            <w:tcW w:w="745" w:type="dxa"/>
            <w:gridSpan w:val="3"/>
            <w:vAlign w:val="center"/>
          </w:tcPr>
          <w:p>
            <w:pPr>
              <w:jc w:val="right"/>
              <w:rPr>
                <w:rFonts w:ascii="宋体" w:cs="Times New Roman"/>
                <w:color w:val="000000"/>
                <w:sz w:val="16"/>
                <w:szCs w:val="16"/>
              </w:rPr>
            </w:pPr>
          </w:p>
        </w:tc>
        <w:tc>
          <w:tcPr>
            <w:tcW w:w="745" w:type="dxa"/>
            <w:gridSpan w:val="2"/>
            <w:vAlign w:val="center"/>
          </w:tcPr>
          <w:p>
            <w:pPr>
              <w:jc w:val="right"/>
              <w:rPr>
                <w:rFonts w:ascii="宋体" w:cs="Times New Roman"/>
                <w:color w:val="000000"/>
                <w:sz w:val="16"/>
                <w:szCs w:val="16"/>
              </w:rPr>
            </w:pPr>
          </w:p>
        </w:tc>
        <w:tc>
          <w:tcPr>
            <w:tcW w:w="2475" w:type="dxa"/>
            <w:gridSpan w:val="3"/>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04</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90" w:hRule="atLeast"/>
        </w:trPr>
        <w:tc>
          <w:tcPr>
            <w:tcW w:w="1706" w:type="dxa"/>
            <w:gridSpan w:val="2"/>
            <w:vAlign w:val="center"/>
          </w:tcPr>
          <w:p>
            <w:pPr>
              <w:rPr>
                <w:rFonts w:ascii="宋体" w:cs="Times New Roman"/>
                <w:color w:val="000000"/>
                <w:sz w:val="16"/>
                <w:szCs w:val="16"/>
              </w:rPr>
            </w:pPr>
          </w:p>
        </w:tc>
        <w:tc>
          <w:tcPr>
            <w:tcW w:w="235" w:type="dxa"/>
            <w:vAlign w:val="center"/>
          </w:tcPr>
          <w:p>
            <w:pPr>
              <w:rPr>
                <w:rFonts w:ascii="宋体" w:cs="Times New Roman"/>
                <w:color w:val="000000"/>
                <w:sz w:val="16"/>
                <w:szCs w:val="16"/>
              </w:rPr>
            </w:pPr>
          </w:p>
        </w:tc>
        <w:tc>
          <w:tcPr>
            <w:tcW w:w="756" w:type="dxa"/>
            <w:gridSpan w:val="2"/>
            <w:vAlign w:val="center"/>
          </w:tcPr>
          <w:p>
            <w:pPr>
              <w:rPr>
                <w:rFonts w:ascii="宋体" w:cs="Times New Roman"/>
                <w:color w:val="000000"/>
                <w:sz w:val="16"/>
                <w:szCs w:val="16"/>
              </w:rPr>
            </w:pPr>
          </w:p>
        </w:tc>
        <w:tc>
          <w:tcPr>
            <w:tcW w:w="1367" w:type="dxa"/>
            <w:vAlign w:val="center"/>
          </w:tcPr>
          <w:p>
            <w:pPr>
              <w:rPr>
                <w:rFonts w:ascii="宋体" w:cs="Times New Roman"/>
                <w:color w:val="000000"/>
                <w:sz w:val="16"/>
                <w:szCs w:val="16"/>
              </w:rPr>
            </w:pPr>
          </w:p>
        </w:tc>
        <w:tc>
          <w:tcPr>
            <w:tcW w:w="236" w:type="dxa"/>
            <w:vAlign w:val="center"/>
          </w:tcPr>
          <w:p>
            <w:pPr>
              <w:rPr>
                <w:rFonts w:ascii="宋体" w:cs="Times New Roman"/>
                <w:color w:val="000000"/>
                <w:sz w:val="16"/>
                <w:szCs w:val="16"/>
              </w:rPr>
            </w:pPr>
          </w:p>
        </w:tc>
        <w:tc>
          <w:tcPr>
            <w:tcW w:w="745" w:type="dxa"/>
            <w:gridSpan w:val="3"/>
            <w:vAlign w:val="center"/>
          </w:tcPr>
          <w:p>
            <w:pPr>
              <w:jc w:val="right"/>
              <w:rPr>
                <w:rFonts w:ascii="宋体" w:cs="Times New Roman"/>
                <w:color w:val="000000"/>
                <w:sz w:val="16"/>
                <w:szCs w:val="16"/>
              </w:rPr>
            </w:pPr>
          </w:p>
        </w:tc>
        <w:tc>
          <w:tcPr>
            <w:tcW w:w="745" w:type="dxa"/>
            <w:gridSpan w:val="2"/>
            <w:vAlign w:val="center"/>
          </w:tcPr>
          <w:p>
            <w:pPr>
              <w:jc w:val="right"/>
              <w:rPr>
                <w:rFonts w:ascii="宋体" w:cs="Times New Roman"/>
                <w:color w:val="000000"/>
                <w:sz w:val="16"/>
                <w:szCs w:val="16"/>
              </w:rPr>
            </w:pPr>
          </w:p>
        </w:tc>
        <w:tc>
          <w:tcPr>
            <w:tcW w:w="2475" w:type="dxa"/>
            <w:gridSpan w:val="3"/>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2697"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收　　入</w:t>
            </w:r>
          </w:p>
        </w:tc>
        <w:tc>
          <w:tcPr>
            <w:tcW w:w="5568" w:type="dxa"/>
            <w:gridSpan w:val="10"/>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支　　出</w:t>
            </w:r>
          </w:p>
        </w:tc>
      </w:tr>
      <w:tr>
        <w:tblPrEx>
          <w:tblLayout w:type="fixed"/>
          <w:tblCellMar>
            <w:top w:w="15" w:type="dxa"/>
            <w:left w:w="15" w:type="dxa"/>
            <w:bottom w:w="15" w:type="dxa"/>
            <w:right w:w="15" w:type="dxa"/>
          </w:tblCellMar>
        </w:tblPrEx>
        <w:trPr>
          <w:trHeight w:val="480"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项　　目</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行次</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金额</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项　　目</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行次</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合计</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一般公共预算财政拨款</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政府性基金预算财政拨款</w:t>
            </w:r>
          </w:p>
        </w:tc>
      </w:tr>
      <w:tr>
        <w:tblPrEx>
          <w:tblLayout w:type="fixed"/>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栏　　次</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1</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栏</w:t>
            </w:r>
            <w:r>
              <w:rPr>
                <w:rFonts w:ascii="宋体" w:hAnsi="宋体" w:cs="宋体"/>
                <w:b/>
                <w:bCs/>
                <w:color w:val="000000"/>
                <w:kern w:val="0"/>
                <w:sz w:val="20"/>
                <w:szCs w:val="20"/>
              </w:rPr>
              <w:t xml:space="preserve">    </w:t>
            </w:r>
            <w:r>
              <w:rPr>
                <w:rFonts w:hint="eastAsia" w:ascii="宋体" w:hAnsi="宋体" w:cs="宋体"/>
                <w:b/>
                <w:bCs/>
                <w:color w:val="000000"/>
                <w:kern w:val="0"/>
                <w:sz w:val="20"/>
                <w:szCs w:val="20"/>
              </w:rPr>
              <w:t>次</w:t>
            </w:r>
          </w:p>
        </w:tc>
        <w:tc>
          <w:tcPr>
            <w:tcW w:w="31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2</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3</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4</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一、一般公共预算财政拨款</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216.25</w:t>
            </w: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一、一般公共服务支出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31</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198.40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197.40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二、政府性基金预算财政拨款</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二、外交支出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32</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三、国防支出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33</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四、公共安全支出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34</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五、教育支出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35</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6</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六、科学技术支出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36</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7</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七、文化体育与传媒支出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37</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8</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八、社会保障和就业支出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38</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6.57</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6.57</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9</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九、医疗卫生与计划生育支出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39</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1.63</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1.63</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10</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十、节能环保支出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40</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5</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5</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11</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十一、城乡社区支出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41</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12</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十二、农林水支出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42</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13</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十三、交通运输支出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43</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14</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十四、资源勘探信息等支出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44</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15</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十五、商业服务业等支出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45</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16</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十六、金融支出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46</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17</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十七、援助其他地区支出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47</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18</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十八、国土海洋气象等支出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48</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19</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十九、住房保障支出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49</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5.65</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5.65</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20</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二十、粮油物资储备支出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50</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21</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二十一、其他支出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51</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22</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二十二、债务还本支出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52</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23</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二十三、债务付息支出</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53</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24</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54</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20"/>
                <w:szCs w:val="20"/>
              </w:rPr>
            </w:pP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本年收入合计</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25</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216.25</w:t>
            </w:r>
            <w:r>
              <w:rPr>
                <w:rFonts w:ascii="宋体" w:hAnsi="宋体" w:cs="宋体"/>
                <w:b/>
                <w:bCs/>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本年支出合计</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55</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216.25</w:t>
            </w:r>
            <w:r>
              <w:rPr>
                <w:rFonts w:ascii="宋体" w:hAnsi="宋体" w:cs="宋体"/>
                <w:b/>
                <w:bCs/>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216.25</w:t>
            </w:r>
            <w:r>
              <w:rPr>
                <w:rFonts w:ascii="宋体" w:hAnsi="宋体" w:cs="宋体"/>
                <w:b/>
                <w:bCs/>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　年初财政拨款结转和结余</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26</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　年末财政拨款结转和结余</w:t>
            </w: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56</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　一般公共预算财政拨款</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27</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57</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20"/>
                <w:szCs w:val="20"/>
              </w:rPr>
            </w:pP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　政府性基金预算财政拨款</w:t>
            </w: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28</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58</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20"/>
                <w:szCs w:val="20"/>
              </w:rPr>
            </w:pPr>
          </w:p>
        </w:tc>
      </w:tr>
      <w:tr>
        <w:tblPrEx>
          <w:tblLayout w:type="fixed"/>
          <w:tblCellMar>
            <w:top w:w="15" w:type="dxa"/>
            <w:left w:w="15" w:type="dxa"/>
            <w:bottom w:w="15" w:type="dxa"/>
            <w:right w:w="15" w:type="dxa"/>
          </w:tblCellMar>
        </w:tblPrEx>
        <w:trPr>
          <w:trHeight w:val="285" w:hRule="atLeast"/>
        </w:trPr>
        <w:tc>
          <w:tcPr>
            <w:tcW w:w="15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41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29</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854"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3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59</w:t>
            </w:r>
          </w:p>
        </w:tc>
        <w:tc>
          <w:tcPr>
            <w:tcW w:w="76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006"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90" w:hRule="atLeast"/>
        </w:trPr>
        <w:tc>
          <w:tcPr>
            <w:tcW w:w="1599"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总计</w:t>
            </w:r>
          </w:p>
        </w:tc>
        <w:tc>
          <w:tcPr>
            <w:tcW w:w="411" w:type="dxa"/>
            <w:gridSpan w:val="3"/>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30</w:t>
            </w:r>
          </w:p>
        </w:tc>
        <w:tc>
          <w:tcPr>
            <w:tcW w:w="68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216.25</w:t>
            </w:r>
            <w:r>
              <w:rPr>
                <w:rFonts w:ascii="宋体" w:hAnsi="宋体" w:cs="宋体"/>
                <w:b/>
                <w:bCs/>
                <w:color w:val="000000"/>
                <w:kern w:val="0"/>
                <w:sz w:val="20"/>
                <w:szCs w:val="20"/>
              </w:rPr>
              <w:t xml:space="preserve"> </w:t>
            </w:r>
          </w:p>
        </w:tc>
        <w:tc>
          <w:tcPr>
            <w:tcW w:w="1854" w:type="dxa"/>
            <w:gridSpan w:val="3"/>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总计</w:t>
            </w:r>
          </w:p>
        </w:tc>
        <w:tc>
          <w:tcPr>
            <w:tcW w:w="313"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60</w:t>
            </w:r>
          </w:p>
        </w:tc>
        <w:tc>
          <w:tcPr>
            <w:tcW w:w="76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216.25</w:t>
            </w:r>
            <w:r>
              <w:rPr>
                <w:rFonts w:ascii="宋体" w:hAnsi="宋体" w:cs="宋体"/>
                <w:b/>
                <w:bCs/>
                <w:color w:val="000000"/>
                <w:kern w:val="0"/>
                <w:sz w:val="20"/>
                <w:szCs w:val="20"/>
              </w:rPr>
              <w:t xml:space="preserve"> </w:t>
            </w:r>
          </w:p>
        </w:tc>
        <w:tc>
          <w:tcPr>
            <w:tcW w:w="1006"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216.25</w:t>
            </w:r>
            <w:r>
              <w:rPr>
                <w:rFonts w:ascii="宋体" w:hAnsi="宋体" w:cs="宋体"/>
                <w:b/>
                <w:bCs/>
                <w:color w:val="000000"/>
                <w:kern w:val="0"/>
                <w:sz w:val="20"/>
                <w:szCs w:val="20"/>
              </w:rPr>
              <w:t xml:space="preserve"> </w:t>
            </w:r>
          </w:p>
        </w:tc>
        <w:tc>
          <w:tcPr>
            <w:tcW w:w="1635" w:type="dxa"/>
            <w:gridSpan w:val="2"/>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gridAfter w:val="1"/>
          <w:wAfter w:w="494" w:type="dxa"/>
          <w:trHeight w:val="495" w:hRule="atLeast"/>
        </w:trPr>
        <w:tc>
          <w:tcPr>
            <w:tcW w:w="7771" w:type="dxa"/>
            <w:gridSpan w:val="14"/>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注：本表反映部门本年度一般公共预算财政拨款和政府性基金预算财政拨款的总收支和年末结转结余情况。</w:t>
            </w:r>
            <w:r>
              <w:rPr>
                <w:rFonts w:ascii="宋体" w:hAnsi="宋体" w:cs="宋体"/>
                <w:color w:val="000000"/>
                <w:kern w:val="0"/>
                <w:sz w:val="20"/>
                <w:szCs w:val="20"/>
              </w:rPr>
              <w:t xml:space="preserve">             </w:t>
            </w:r>
          </w:p>
        </w:tc>
      </w:tr>
    </w:tbl>
    <w:p>
      <w:pPr>
        <w:spacing w:line="360" w:lineRule="auto"/>
        <w:jc w:val="center"/>
        <w:rPr>
          <w:rFonts w:ascii="隶书" w:hAnsi="隶书" w:eastAsia="隶书" w:cs="Times New Roman"/>
          <w:sz w:val="52"/>
          <w:szCs w:val="52"/>
        </w:rPr>
      </w:pPr>
      <w:r>
        <w:rPr>
          <w:rFonts w:ascii="隶书" w:hAnsi="隶书" w:eastAsia="隶书" w:cs="Times New Roman"/>
          <w:sz w:val="52"/>
          <w:szCs w:val="52"/>
        </w:rPr>
        <w:br w:type="page"/>
      </w:r>
    </w:p>
    <w:tbl>
      <w:tblPr>
        <w:tblStyle w:val="5"/>
        <w:tblW w:w="8325" w:type="dxa"/>
        <w:tblInd w:w="-13" w:type="dxa"/>
        <w:tblLayout w:type="fixed"/>
        <w:tblCellMar>
          <w:top w:w="15" w:type="dxa"/>
          <w:left w:w="15" w:type="dxa"/>
          <w:bottom w:w="15" w:type="dxa"/>
          <w:right w:w="15" w:type="dxa"/>
        </w:tblCellMar>
      </w:tblPr>
      <w:tblGrid>
        <w:gridCol w:w="855"/>
        <w:gridCol w:w="475"/>
        <w:gridCol w:w="1266"/>
        <w:gridCol w:w="599"/>
        <w:gridCol w:w="1036"/>
        <w:gridCol w:w="584"/>
        <w:gridCol w:w="523"/>
        <w:gridCol w:w="1112"/>
        <w:gridCol w:w="1875"/>
      </w:tblGrid>
      <w:tr>
        <w:tblPrEx>
          <w:tblLayout w:type="fixed"/>
          <w:tblCellMar>
            <w:top w:w="15" w:type="dxa"/>
            <w:left w:w="15" w:type="dxa"/>
            <w:bottom w:w="15" w:type="dxa"/>
            <w:right w:w="15" w:type="dxa"/>
          </w:tblCellMar>
        </w:tblPrEx>
        <w:trPr>
          <w:trHeight w:val="375" w:hRule="atLeast"/>
        </w:trPr>
        <w:tc>
          <w:tcPr>
            <w:tcW w:w="8325" w:type="dxa"/>
            <w:gridSpan w:val="9"/>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一般公共预算财政拨款支出决算表</w:t>
            </w:r>
          </w:p>
        </w:tc>
      </w:tr>
      <w:tr>
        <w:tblPrEx>
          <w:tblLayout w:type="fixed"/>
          <w:tblCellMar>
            <w:top w:w="15" w:type="dxa"/>
            <w:left w:w="15" w:type="dxa"/>
            <w:bottom w:w="15" w:type="dxa"/>
            <w:right w:w="15" w:type="dxa"/>
          </w:tblCellMar>
        </w:tblPrEx>
        <w:trPr>
          <w:trHeight w:val="285" w:hRule="atLeast"/>
        </w:trPr>
        <w:tc>
          <w:tcPr>
            <w:tcW w:w="1330" w:type="dxa"/>
            <w:gridSpan w:val="2"/>
            <w:vAlign w:val="center"/>
          </w:tcPr>
          <w:p>
            <w:pPr>
              <w:rPr>
                <w:rFonts w:ascii="宋体" w:cs="Times New Roman"/>
                <w:color w:val="000000"/>
                <w:sz w:val="16"/>
                <w:szCs w:val="16"/>
              </w:rPr>
            </w:pPr>
          </w:p>
        </w:tc>
        <w:tc>
          <w:tcPr>
            <w:tcW w:w="1266" w:type="dxa"/>
            <w:vAlign w:val="center"/>
          </w:tcPr>
          <w:p>
            <w:pPr>
              <w:rPr>
                <w:rFonts w:ascii="宋体" w:cs="Times New Roman"/>
                <w:color w:val="000000"/>
                <w:sz w:val="16"/>
                <w:szCs w:val="16"/>
              </w:rPr>
            </w:pPr>
          </w:p>
        </w:tc>
        <w:tc>
          <w:tcPr>
            <w:tcW w:w="1635" w:type="dxa"/>
            <w:gridSpan w:val="2"/>
            <w:vAlign w:val="center"/>
          </w:tcPr>
          <w:p>
            <w:pPr>
              <w:rPr>
                <w:rFonts w:ascii="宋体" w:cs="Times New Roman"/>
                <w:color w:val="000000"/>
                <w:sz w:val="16"/>
                <w:szCs w:val="16"/>
              </w:rPr>
            </w:pPr>
          </w:p>
        </w:tc>
        <w:tc>
          <w:tcPr>
            <w:tcW w:w="1107" w:type="dxa"/>
            <w:gridSpan w:val="2"/>
            <w:vAlign w:val="center"/>
          </w:tcPr>
          <w:p>
            <w:pPr>
              <w:rPr>
                <w:rFonts w:ascii="宋体" w:cs="Times New Roman"/>
                <w:color w:val="000000"/>
                <w:sz w:val="16"/>
                <w:szCs w:val="16"/>
              </w:rPr>
            </w:pPr>
          </w:p>
        </w:tc>
        <w:tc>
          <w:tcPr>
            <w:tcW w:w="2987"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05</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330" w:type="dxa"/>
            <w:gridSpan w:val="2"/>
            <w:vAlign w:val="center"/>
          </w:tcPr>
          <w:p>
            <w:pPr>
              <w:rPr>
                <w:rFonts w:ascii="宋体" w:cs="Times New Roman"/>
                <w:color w:val="000000"/>
                <w:sz w:val="16"/>
                <w:szCs w:val="16"/>
              </w:rPr>
            </w:pPr>
          </w:p>
        </w:tc>
        <w:tc>
          <w:tcPr>
            <w:tcW w:w="1266" w:type="dxa"/>
            <w:vAlign w:val="center"/>
          </w:tcPr>
          <w:p>
            <w:pPr>
              <w:rPr>
                <w:rFonts w:ascii="宋体" w:cs="Times New Roman"/>
                <w:color w:val="000000"/>
                <w:sz w:val="16"/>
                <w:szCs w:val="16"/>
              </w:rPr>
            </w:pPr>
          </w:p>
        </w:tc>
        <w:tc>
          <w:tcPr>
            <w:tcW w:w="1635" w:type="dxa"/>
            <w:gridSpan w:val="2"/>
            <w:vAlign w:val="center"/>
          </w:tcPr>
          <w:p>
            <w:pPr>
              <w:rPr>
                <w:rFonts w:ascii="宋体" w:cs="Times New Roman"/>
                <w:color w:val="000000"/>
                <w:sz w:val="16"/>
                <w:szCs w:val="16"/>
              </w:rPr>
            </w:pPr>
          </w:p>
        </w:tc>
        <w:tc>
          <w:tcPr>
            <w:tcW w:w="1107" w:type="dxa"/>
            <w:gridSpan w:val="2"/>
            <w:vAlign w:val="center"/>
          </w:tcPr>
          <w:p>
            <w:pPr>
              <w:rPr>
                <w:rFonts w:ascii="宋体" w:cs="Times New Roman"/>
                <w:color w:val="000000"/>
                <w:sz w:val="16"/>
                <w:szCs w:val="16"/>
              </w:rPr>
            </w:pPr>
          </w:p>
        </w:tc>
        <w:tc>
          <w:tcPr>
            <w:tcW w:w="2987"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195"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w:t>
            </w:r>
          </w:p>
        </w:tc>
        <w:tc>
          <w:tcPr>
            <w:tcW w:w="162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163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1875"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r>
      <w:tr>
        <w:tblPrEx>
          <w:tblLayout w:type="fixed"/>
          <w:tblCellMar>
            <w:top w:w="15" w:type="dxa"/>
            <w:left w:w="15" w:type="dxa"/>
            <w:bottom w:w="15" w:type="dxa"/>
            <w:right w:w="15" w:type="dxa"/>
          </w:tblCellMar>
        </w:tblPrEx>
        <w:trPr>
          <w:trHeight w:val="6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620"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63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875"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300" w:hRule="atLeast"/>
        </w:trPr>
        <w:tc>
          <w:tcPr>
            <w:tcW w:w="3195"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r>
      <w:tr>
        <w:tblPrEx>
          <w:tblLayout w:type="fixed"/>
          <w:tblCellMar>
            <w:top w:w="15" w:type="dxa"/>
            <w:left w:w="15" w:type="dxa"/>
            <w:bottom w:w="15" w:type="dxa"/>
            <w:right w:w="15" w:type="dxa"/>
          </w:tblCellMar>
        </w:tblPrEx>
        <w:trPr>
          <w:trHeight w:val="300" w:hRule="atLeast"/>
        </w:trPr>
        <w:tc>
          <w:tcPr>
            <w:tcW w:w="3195"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hint="eastAsia" w:ascii="宋体" w:cs="Times New Roman"/>
                <w:b/>
                <w:bCs/>
                <w:color w:val="000000"/>
                <w:sz w:val="20"/>
                <w:szCs w:val="20"/>
                <w:lang w:val="en-US" w:eastAsia="zh-CN"/>
              </w:rPr>
              <w:t>216.25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hint="eastAsia" w:ascii="宋体" w:cs="Times New Roman"/>
                <w:b/>
                <w:bCs/>
                <w:color w:val="000000"/>
                <w:sz w:val="20"/>
                <w:szCs w:val="20"/>
                <w:lang w:val="en-US" w:eastAsia="zh-CN"/>
              </w:rPr>
              <w:t>216.25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一般公共服务支出</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hint="eastAsia" w:ascii="宋体" w:cs="Times New Roman"/>
                <w:b/>
                <w:bCs/>
                <w:color w:val="000000"/>
                <w:sz w:val="20"/>
                <w:szCs w:val="20"/>
                <w:lang w:val="en-US" w:eastAsia="zh-CN"/>
              </w:rPr>
              <w:t>197.40</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hint="eastAsia" w:ascii="宋体" w:cs="Times New Roman"/>
                <w:b/>
                <w:bCs/>
                <w:color w:val="000000"/>
                <w:sz w:val="20"/>
                <w:szCs w:val="20"/>
                <w:lang w:val="en-US" w:eastAsia="zh-CN"/>
              </w:rPr>
              <w:t>197.40</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20113</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商贸事务</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15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15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2011308</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招商引资</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15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15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20131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党委办公厅（室）及相关机构事务</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182.4</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182.4</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2013101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行政运行</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141.9</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141.9</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kern w:val="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2013102</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一般行政管理事务</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2013105</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专项业务</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35.5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35.5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kern w:val="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208</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社会保障和就业支出</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6.57</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6.57</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20803</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财政对社会保险基金的补助</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0.12</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0.12</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kern w:val="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2080305</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财政对生育保险基金的补助</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0.12</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kern w:val="0"/>
                <w:sz w:val="16"/>
                <w:szCs w:val="16"/>
              </w:rPr>
            </w:pPr>
            <w:r>
              <w:rPr>
                <w:rFonts w:hint="eastAsia" w:ascii="宋体" w:cs="Times New Roman"/>
                <w:color w:val="000000"/>
                <w:sz w:val="20"/>
                <w:szCs w:val="20"/>
                <w:lang w:val="en-US" w:eastAsia="zh-CN"/>
              </w:rPr>
              <w:t>0.12</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kern w:val="0"/>
                <w:sz w:val="16"/>
                <w:szCs w:val="16"/>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20805</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行政事业单位离退休</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6.45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6.45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2080501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归口管理的行政单位离退休</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6.45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20"/>
                <w:szCs w:val="20"/>
                <w:lang w:val="en-US" w:eastAsia="zh-CN"/>
              </w:rPr>
              <w:t>6.45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210</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医疗卫生与计划生育支出</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1.63</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1.63</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21005</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医疗保障</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cs="宋体"/>
                <w:i w:val="0"/>
                <w:color w:val="000000"/>
                <w:kern w:val="0"/>
                <w:sz w:val="22"/>
                <w:szCs w:val="22"/>
                <w:u w:val="none"/>
                <w:lang w:val="en-US" w:eastAsia="zh-CN" w:bidi="ar"/>
              </w:rPr>
              <w:t>1.63</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1.63</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2100501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行政单位医疗</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1.63</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1.63</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211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节能环保支出</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21103</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污染防治</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2110301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大气</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221</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住房保障支出</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5.65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5.65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22102</w:t>
            </w:r>
          </w:p>
        </w:tc>
        <w:tc>
          <w:tcPr>
            <w:tcW w:w="234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住房改革支出</w:t>
            </w:r>
          </w:p>
        </w:tc>
        <w:tc>
          <w:tcPr>
            <w:tcW w:w="162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5.65</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b w:val="0"/>
                <w:bCs w:val="0"/>
                <w:color w:val="000000"/>
                <w:sz w:val="20"/>
                <w:szCs w:val="20"/>
                <w:shd w:val="clear" w:color="auto" w:fill="auto"/>
                <w:lang w:val="en-US" w:eastAsia="zh-CN"/>
              </w:rPr>
              <w:t>5.65</w:t>
            </w:r>
          </w:p>
        </w:tc>
        <w:tc>
          <w:tcPr>
            <w:tcW w:w="18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kern w:val="0"/>
                <w:sz w:val="20"/>
                <w:szCs w:val="20"/>
                <w:lang w:val="en-US" w:eastAsia="zh-CN"/>
              </w:rPr>
              <w:t>0</w:t>
            </w:r>
          </w:p>
        </w:tc>
      </w:tr>
      <w:tr>
        <w:tblPrEx>
          <w:tblLayout w:type="fixed"/>
          <w:tblCellMar>
            <w:top w:w="15" w:type="dxa"/>
            <w:left w:w="15" w:type="dxa"/>
            <w:bottom w:w="15" w:type="dxa"/>
            <w:right w:w="15" w:type="dxa"/>
          </w:tblCellMar>
        </w:tblPrEx>
        <w:trPr>
          <w:trHeight w:val="300" w:hRule="atLeast"/>
        </w:trPr>
        <w:tc>
          <w:tcPr>
            <w:tcW w:w="855"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2210201</w:t>
            </w:r>
          </w:p>
        </w:tc>
        <w:tc>
          <w:tcPr>
            <w:tcW w:w="2340" w:type="dxa"/>
            <w:gridSpan w:val="3"/>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22"/>
                <w:szCs w:val="22"/>
                <w:u w:val="none"/>
                <w:lang w:val="en-US" w:eastAsia="zh-CN" w:bidi="ar"/>
              </w:rPr>
              <w:t xml:space="preserve">  住房公积金</w:t>
            </w:r>
          </w:p>
        </w:tc>
        <w:tc>
          <w:tcPr>
            <w:tcW w:w="162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color w:val="000000"/>
                <w:sz w:val="20"/>
                <w:szCs w:val="20"/>
                <w:shd w:val="clear" w:color="auto" w:fill="auto"/>
                <w:lang w:val="en-US" w:eastAsia="zh-CN"/>
              </w:rPr>
              <w:t>5.65</w:t>
            </w:r>
          </w:p>
        </w:tc>
        <w:tc>
          <w:tcPr>
            <w:tcW w:w="163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cs="Times New Roman"/>
                <w:color w:val="000000"/>
                <w:sz w:val="20"/>
                <w:szCs w:val="20"/>
                <w:shd w:val="clear" w:color="auto" w:fill="auto"/>
                <w:lang w:val="en-US" w:eastAsia="zh-CN"/>
              </w:rPr>
              <w:t>5.65</w:t>
            </w:r>
          </w:p>
        </w:tc>
        <w:tc>
          <w:tcPr>
            <w:tcW w:w="187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16"/>
                <w:szCs w:val="16"/>
              </w:rPr>
            </w:pPr>
            <w:r>
              <w:rPr>
                <w:rFonts w:hint="eastAsia" w:ascii="宋体" w:cs="Times New Roman"/>
                <w:color w:val="000000"/>
                <w:sz w:val="20"/>
                <w:szCs w:val="20"/>
                <w:lang w:val="en-US" w:eastAsia="zh-CN"/>
              </w:rPr>
              <w:t>0</w:t>
            </w:r>
          </w:p>
        </w:tc>
      </w:tr>
      <w:tr>
        <w:tblPrEx>
          <w:tblLayout w:type="fixed"/>
          <w:tblCellMar>
            <w:top w:w="15" w:type="dxa"/>
            <w:left w:w="15" w:type="dxa"/>
            <w:bottom w:w="15" w:type="dxa"/>
            <w:right w:w="15" w:type="dxa"/>
          </w:tblCellMar>
        </w:tblPrEx>
        <w:trPr>
          <w:trHeight w:val="600" w:hRule="atLeast"/>
        </w:trPr>
        <w:tc>
          <w:tcPr>
            <w:tcW w:w="8325" w:type="dxa"/>
            <w:gridSpan w:val="9"/>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NumType w:fmt="numberInDash"/>
          <w:cols w:space="0" w:num="1"/>
          <w:docGrid w:type="lines" w:linePitch="317" w:charSpace="0"/>
        </w:sectPr>
      </w:pPr>
    </w:p>
    <w:tbl>
      <w:tblPr>
        <w:tblStyle w:val="5"/>
        <w:tblW w:w="8460" w:type="dxa"/>
        <w:tblInd w:w="-13" w:type="dxa"/>
        <w:tblLayout w:type="fixed"/>
        <w:tblCellMar>
          <w:top w:w="15" w:type="dxa"/>
          <w:left w:w="15" w:type="dxa"/>
          <w:bottom w:w="15" w:type="dxa"/>
          <w:right w:w="15" w:type="dxa"/>
        </w:tblCellMar>
      </w:tblPr>
      <w:tblGrid>
        <w:gridCol w:w="870"/>
        <w:gridCol w:w="255"/>
        <w:gridCol w:w="1223"/>
        <w:gridCol w:w="322"/>
        <w:gridCol w:w="173"/>
        <w:gridCol w:w="742"/>
        <w:gridCol w:w="381"/>
        <w:gridCol w:w="819"/>
        <w:gridCol w:w="404"/>
        <w:gridCol w:w="1636"/>
        <w:gridCol w:w="1455"/>
        <w:gridCol w:w="180"/>
      </w:tblGrid>
      <w:tr>
        <w:tblPrEx>
          <w:tblLayout w:type="fixed"/>
          <w:tblCellMar>
            <w:top w:w="15" w:type="dxa"/>
            <w:left w:w="15" w:type="dxa"/>
            <w:bottom w:w="15" w:type="dxa"/>
            <w:right w:w="15" w:type="dxa"/>
          </w:tblCellMar>
        </w:tblPrEx>
        <w:trPr>
          <w:gridAfter w:val="1"/>
          <w:wAfter w:w="180" w:type="dxa"/>
          <w:trHeight w:val="375" w:hRule="atLeast"/>
        </w:trPr>
        <w:tc>
          <w:tcPr>
            <w:tcW w:w="8280" w:type="dxa"/>
            <w:gridSpan w:val="11"/>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一般公共预算财政拨款基本支出决算表</w:t>
            </w:r>
          </w:p>
        </w:tc>
      </w:tr>
      <w:tr>
        <w:tblPrEx>
          <w:tblLayout w:type="fixed"/>
          <w:tblCellMar>
            <w:top w:w="15" w:type="dxa"/>
            <w:left w:w="15" w:type="dxa"/>
            <w:bottom w:w="15" w:type="dxa"/>
            <w:right w:w="15" w:type="dxa"/>
          </w:tblCellMar>
        </w:tblPrEx>
        <w:trPr>
          <w:gridAfter w:val="1"/>
          <w:wAfter w:w="180" w:type="dxa"/>
          <w:trHeight w:val="285" w:hRule="atLeast"/>
        </w:trPr>
        <w:tc>
          <w:tcPr>
            <w:tcW w:w="1125" w:type="dxa"/>
            <w:gridSpan w:val="2"/>
            <w:vAlign w:val="center"/>
          </w:tcPr>
          <w:p>
            <w:pPr>
              <w:rPr>
                <w:rFonts w:ascii="宋体" w:cs="Times New Roman"/>
                <w:color w:val="000000"/>
                <w:sz w:val="16"/>
                <w:szCs w:val="16"/>
              </w:rPr>
            </w:pPr>
          </w:p>
        </w:tc>
        <w:tc>
          <w:tcPr>
            <w:tcW w:w="1223" w:type="dxa"/>
            <w:vAlign w:val="center"/>
          </w:tcPr>
          <w:p>
            <w:pPr>
              <w:rPr>
                <w:rFonts w:ascii="宋体" w:cs="Times New Roman"/>
                <w:color w:val="000000"/>
                <w:sz w:val="16"/>
                <w:szCs w:val="16"/>
              </w:rPr>
            </w:pPr>
          </w:p>
        </w:tc>
        <w:tc>
          <w:tcPr>
            <w:tcW w:w="495" w:type="dxa"/>
            <w:gridSpan w:val="2"/>
            <w:vAlign w:val="center"/>
          </w:tcPr>
          <w:p>
            <w:pPr>
              <w:rPr>
                <w:rFonts w:ascii="宋体" w:cs="Times New Roman"/>
                <w:color w:val="000000"/>
                <w:sz w:val="16"/>
                <w:szCs w:val="16"/>
              </w:rPr>
            </w:pPr>
          </w:p>
        </w:tc>
        <w:tc>
          <w:tcPr>
            <w:tcW w:w="1123" w:type="dxa"/>
            <w:gridSpan w:val="2"/>
            <w:vAlign w:val="center"/>
          </w:tcPr>
          <w:p>
            <w:pPr>
              <w:rPr>
                <w:rFonts w:ascii="宋体" w:cs="Times New Roman"/>
                <w:color w:val="000000"/>
                <w:sz w:val="16"/>
                <w:szCs w:val="16"/>
              </w:rPr>
            </w:pPr>
          </w:p>
        </w:tc>
        <w:tc>
          <w:tcPr>
            <w:tcW w:w="1223" w:type="dxa"/>
            <w:gridSpan w:val="2"/>
            <w:vAlign w:val="center"/>
          </w:tcPr>
          <w:p>
            <w:pPr>
              <w:rPr>
                <w:rFonts w:ascii="宋体" w:cs="Times New Roman"/>
                <w:color w:val="000000"/>
                <w:sz w:val="16"/>
                <w:szCs w:val="16"/>
              </w:rPr>
            </w:pPr>
          </w:p>
        </w:tc>
        <w:tc>
          <w:tcPr>
            <w:tcW w:w="3091"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06</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gridAfter w:val="1"/>
          <w:wAfter w:w="180" w:type="dxa"/>
          <w:trHeight w:val="270" w:hRule="atLeast"/>
        </w:trPr>
        <w:tc>
          <w:tcPr>
            <w:tcW w:w="1125" w:type="dxa"/>
            <w:gridSpan w:val="2"/>
            <w:vAlign w:val="center"/>
          </w:tcPr>
          <w:p>
            <w:pPr>
              <w:rPr>
                <w:rFonts w:ascii="宋体" w:cs="Times New Roman"/>
                <w:color w:val="000000"/>
                <w:sz w:val="16"/>
                <w:szCs w:val="16"/>
              </w:rPr>
            </w:pPr>
          </w:p>
        </w:tc>
        <w:tc>
          <w:tcPr>
            <w:tcW w:w="1223" w:type="dxa"/>
            <w:vAlign w:val="center"/>
          </w:tcPr>
          <w:p>
            <w:pPr>
              <w:rPr>
                <w:rFonts w:ascii="宋体" w:cs="Times New Roman"/>
                <w:color w:val="000000"/>
                <w:sz w:val="16"/>
                <w:szCs w:val="16"/>
              </w:rPr>
            </w:pPr>
          </w:p>
        </w:tc>
        <w:tc>
          <w:tcPr>
            <w:tcW w:w="495" w:type="dxa"/>
            <w:gridSpan w:val="2"/>
            <w:vAlign w:val="center"/>
          </w:tcPr>
          <w:p>
            <w:pPr>
              <w:rPr>
                <w:rFonts w:ascii="宋体" w:cs="Times New Roman"/>
                <w:color w:val="000000"/>
                <w:sz w:val="16"/>
                <w:szCs w:val="16"/>
              </w:rPr>
            </w:pPr>
          </w:p>
        </w:tc>
        <w:tc>
          <w:tcPr>
            <w:tcW w:w="1123" w:type="dxa"/>
            <w:gridSpan w:val="2"/>
            <w:vAlign w:val="center"/>
          </w:tcPr>
          <w:p>
            <w:pPr>
              <w:rPr>
                <w:rFonts w:ascii="宋体" w:cs="Times New Roman"/>
                <w:color w:val="000000"/>
                <w:sz w:val="16"/>
                <w:szCs w:val="16"/>
              </w:rPr>
            </w:pPr>
          </w:p>
        </w:tc>
        <w:tc>
          <w:tcPr>
            <w:tcW w:w="1223" w:type="dxa"/>
            <w:gridSpan w:val="2"/>
            <w:vAlign w:val="center"/>
          </w:tcPr>
          <w:p>
            <w:pPr>
              <w:rPr>
                <w:rFonts w:ascii="宋体" w:cs="Times New Roman"/>
                <w:color w:val="000000"/>
                <w:sz w:val="16"/>
                <w:szCs w:val="16"/>
              </w:rPr>
            </w:pPr>
          </w:p>
        </w:tc>
        <w:tc>
          <w:tcPr>
            <w:tcW w:w="3091"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585" w:type="dxa"/>
            <w:gridSpan w:val="6"/>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人员经费</w:t>
            </w:r>
          </w:p>
        </w:tc>
        <w:tc>
          <w:tcPr>
            <w:tcW w:w="4875" w:type="dxa"/>
            <w:gridSpan w:val="6"/>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公用经费</w:t>
            </w:r>
          </w:p>
        </w:tc>
      </w:tr>
      <w:tr>
        <w:tblPrEx>
          <w:tblLayout w:type="fixed"/>
          <w:tblCellMar>
            <w:top w:w="15" w:type="dxa"/>
            <w:left w:w="15" w:type="dxa"/>
            <w:bottom w:w="15" w:type="dxa"/>
            <w:right w:w="15" w:type="dxa"/>
          </w:tblCellMar>
        </w:tblPrEx>
        <w:trPr>
          <w:trHeight w:val="6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20"/>
                <w:szCs w:val="20"/>
              </w:rPr>
            </w:pPr>
            <w:r>
              <w:rPr>
                <w:rFonts w:hint="eastAsia" w:ascii="宋体" w:hAnsi="宋体" w:cs="宋体"/>
                <w:b/>
                <w:bCs/>
                <w:color w:val="000000"/>
                <w:kern w:val="0"/>
                <w:sz w:val="20"/>
                <w:szCs w:val="20"/>
              </w:rPr>
              <w:t>经济分类</w:t>
            </w:r>
          </w:p>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科目编码</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科目名称</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金额</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20"/>
                <w:szCs w:val="20"/>
              </w:rPr>
            </w:pPr>
            <w:r>
              <w:rPr>
                <w:rFonts w:hint="eastAsia" w:ascii="宋体" w:hAnsi="宋体" w:cs="宋体"/>
                <w:b/>
                <w:bCs/>
                <w:color w:val="000000"/>
                <w:kern w:val="0"/>
                <w:sz w:val="20"/>
                <w:szCs w:val="20"/>
              </w:rPr>
              <w:t>经济分类</w:t>
            </w:r>
          </w:p>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科目编码</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科目名称</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金额</w:t>
            </w:r>
          </w:p>
        </w:tc>
      </w:tr>
      <w:tr>
        <w:tblPrEx>
          <w:tblLayout w:type="fixed"/>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301</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工资福利支出</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75.46</w:t>
            </w:r>
            <w:r>
              <w:rPr>
                <w:rFonts w:ascii="宋体" w:hAnsi="宋体" w:cs="宋体"/>
                <w:b/>
                <w:bCs/>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302</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商品和服务支出</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121.04</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30101</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基本工资</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20.12</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30201</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办公费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38.80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30102</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津贴补贴</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45.11</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30202</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印刷费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30.18</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30103</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奖金</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30203</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咨询费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30104</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其他社会保障缴费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1.75</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30204</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手续费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30106</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伙食补助费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8.48</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30205</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水费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30107</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绩效工资</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30206</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电费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30108</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机关事业单位基本养老保险缴费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30207</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邮电费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2.35</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30109</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职业年金缴费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30208</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取暖费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30199</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其他工资福利支出</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30209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物业管理费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303</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对个人和家庭的补助</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13.05</w:t>
            </w:r>
            <w:r>
              <w:rPr>
                <w:rFonts w:ascii="宋体" w:hAnsi="宋体" w:cs="宋体"/>
                <w:b/>
                <w:bCs/>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30211</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差旅费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0.09</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30301</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离休费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30212</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因公出国</w:t>
            </w:r>
            <w:r>
              <w:rPr>
                <w:rFonts w:ascii="宋体" w:hAnsi="宋体" w:cs="宋体"/>
                <w:color w:val="000000"/>
                <w:kern w:val="0"/>
                <w:sz w:val="20"/>
                <w:szCs w:val="20"/>
              </w:rPr>
              <w:t>(</w:t>
            </w:r>
            <w:r>
              <w:rPr>
                <w:rFonts w:hint="eastAsia" w:ascii="宋体" w:hAnsi="宋体" w:cs="宋体"/>
                <w:color w:val="000000"/>
                <w:kern w:val="0"/>
                <w:sz w:val="20"/>
                <w:szCs w:val="20"/>
              </w:rPr>
              <w:t>境</w:t>
            </w:r>
            <w:r>
              <w:rPr>
                <w:rFonts w:ascii="宋体" w:hAnsi="宋体" w:cs="宋体"/>
                <w:color w:val="000000"/>
                <w:kern w:val="0"/>
                <w:sz w:val="20"/>
                <w:szCs w:val="20"/>
              </w:rPr>
              <w:t>)</w:t>
            </w:r>
            <w:r>
              <w:rPr>
                <w:rFonts w:hint="eastAsia" w:ascii="宋体" w:hAnsi="宋体" w:cs="宋体"/>
                <w:color w:val="000000"/>
                <w:kern w:val="0"/>
                <w:sz w:val="20"/>
                <w:szCs w:val="20"/>
              </w:rPr>
              <w:t>费用</w:t>
            </w:r>
            <w:r>
              <w:rPr>
                <w:rFonts w:ascii="宋体" w:hAnsi="宋体" w:cs="宋体"/>
                <w:color w:val="000000"/>
                <w:kern w:val="0"/>
                <w:sz w:val="20"/>
                <w:szCs w:val="20"/>
              </w:rPr>
              <w:t xml:space="preserve"> </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30302</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退休费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6.45</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30213</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维修</w:t>
            </w:r>
            <w:r>
              <w:rPr>
                <w:rFonts w:ascii="宋体" w:hAnsi="宋体" w:cs="宋体"/>
                <w:color w:val="000000"/>
                <w:kern w:val="0"/>
                <w:sz w:val="20"/>
                <w:szCs w:val="20"/>
              </w:rPr>
              <w:t>(</w:t>
            </w:r>
            <w:r>
              <w:rPr>
                <w:rFonts w:hint="eastAsia" w:ascii="宋体" w:hAnsi="宋体" w:cs="宋体"/>
                <w:color w:val="000000"/>
                <w:kern w:val="0"/>
                <w:sz w:val="20"/>
                <w:szCs w:val="20"/>
              </w:rPr>
              <w:t>护</w:t>
            </w:r>
            <w:r>
              <w:rPr>
                <w:rFonts w:ascii="宋体" w:hAnsi="宋体" w:cs="宋体"/>
                <w:color w:val="000000"/>
                <w:kern w:val="0"/>
                <w:sz w:val="20"/>
                <w:szCs w:val="20"/>
              </w:rPr>
              <w:t>)</w:t>
            </w:r>
            <w:r>
              <w:rPr>
                <w:rFonts w:hint="eastAsia" w:ascii="宋体" w:hAnsi="宋体" w:cs="宋体"/>
                <w:color w:val="000000"/>
                <w:kern w:val="0"/>
                <w:sz w:val="20"/>
                <w:szCs w:val="20"/>
              </w:rPr>
              <w:t>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4.06</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30303</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退职</w:t>
            </w:r>
            <w:r>
              <w:rPr>
                <w:rFonts w:ascii="宋体" w:hAnsi="宋体" w:cs="宋体"/>
                <w:color w:val="000000"/>
                <w:kern w:val="0"/>
                <w:sz w:val="20"/>
                <w:szCs w:val="20"/>
              </w:rPr>
              <w:t>(</w:t>
            </w:r>
            <w:r>
              <w:rPr>
                <w:rFonts w:hint="eastAsia" w:ascii="宋体" w:hAnsi="宋体" w:cs="宋体"/>
                <w:color w:val="000000"/>
                <w:kern w:val="0"/>
                <w:sz w:val="20"/>
                <w:szCs w:val="20"/>
              </w:rPr>
              <w:t>役</w:t>
            </w:r>
            <w:r>
              <w:rPr>
                <w:rFonts w:ascii="宋体" w:hAnsi="宋体" w:cs="宋体"/>
                <w:color w:val="000000"/>
                <w:kern w:val="0"/>
                <w:sz w:val="20"/>
                <w:szCs w:val="20"/>
              </w:rPr>
              <w:t>)</w:t>
            </w:r>
            <w:r>
              <w:rPr>
                <w:rFonts w:hint="eastAsia" w:ascii="宋体" w:hAnsi="宋体" w:cs="宋体"/>
                <w:color w:val="000000"/>
                <w:kern w:val="0"/>
                <w:sz w:val="20"/>
                <w:szCs w:val="20"/>
              </w:rPr>
              <w:t>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30214</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租赁费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30304</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抚恤金</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30215</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会议费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30305</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生活补助</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30216</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培训费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0.69</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30306</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救济费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30217</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公务接待费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0.33</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30307</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医疗费</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30218</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专用材料费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30308</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助学金</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30224</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被装购置费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30309</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奖励金</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30225</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专用燃料费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30310</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生产补贴</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30226</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劳务费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30311</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住房公积金</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5.65</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30227</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委托业务费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30312</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提租补贴</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30228</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工会经费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30313</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购房补贴</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福利费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30314</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采暖补贴</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30231</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公务用车运行维护费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35.27</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30315</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物业服务补贴</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30239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其他交通费用</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0.34</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30399</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其他对个人和家庭的补助支出</w:t>
            </w: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0.94</w:t>
            </w:r>
            <w:r>
              <w:rPr>
                <w:rFonts w:ascii="宋体" w:hAnsi="宋体" w:cs="宋体"/>
                <w:color w:val="000000"/>
                <w:kern w:val="0"/>
                <w:sz w:val="20"/>
                <w:szCs w:val="20"/>
              </w:rPr>
              <w:t xml:space="preserve"> </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30240</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税金及附加费用</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30299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其他商品和服务支出</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8.92</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30224</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被装购置费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30225</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专用燃料费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30226</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劳务费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30227</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委托业务费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30228</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工会经费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30229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福利费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30231</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公务用车运行维护费</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35.27</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30239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其他交通费用</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0.34</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30240</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税金及附加费用</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30299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其他商品和服务支出</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8.92</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b/>
                <w:bCs/>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b/>
                <w:bCs/>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310</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其他资本性支出</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6.70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31001</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房屋建筑物购建</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31002</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办公设备购置</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5.84</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31003</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专用设备购置</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0.86</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31005</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基础设施建设</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31006</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大型修缮</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31007</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信息网络及软件购置更新</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31008</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物资储备</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31009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土地补偿</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31010</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安置补助</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31011</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地上附着物和青苗补偿</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31012</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拆迁补偿</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31013</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公务用车购置</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31019</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其他交通工具购置</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31020</w:t>
            </w:r>
          </w:p>
        </w:tc>
        <w:tc>
          <w:tcPr>
            <w:tcW w:w="20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产权参股</w:t>
            </w:r>
          </w:p>
        </w:tc>
        <w:tc>
          <w:tcPr>
            <w:tcW w:w="163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300" w:hRule="atLeast"/>
        </w:trPr>
        <w:tc>
          <w:tcPr>
            <w:tcW w:w="870"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Times New Roman"/>
                <w:color w:val="000000"/>
                <w:sz w:val="20"/>
                <w:szCs w:val="20"/>
              </w:rPr>
            </w:pPr>
          </w:p>
        </w:tc>
        <w:tc>
          <w:tcPr>
            <w:tcW w:w="1800" w:type="dxa"/>
            <w:gridSpan w:val="3"/>
            <w:tcBorders>
              <w:top w:val="single" w:color="000000" w:sz="4" w:space="0"/>
              <w:left w:val="single" w:color="000000" w:sz="4" w:space="0"/>
              <w:bottom w:val="single" w:color="000000" w:sz="12" w:space="0"/>
              <w:right w:val="single" w:color="000000" w:sz="4" w:space="0"/>
            </w:tcBorders>
            <w:vAlign w:val="center"/>
          </w:tcPr>
          <w:p>
            <w:pPr>
              <w:jc w:val="left"/>
              <w:rPr>
                <w:rFonts w:ascii="宋体" w:cs="Times New Roman"/>
                <w:color w:val="000000"/>
                <w:sz w:val="20"/>
                <w:szCs w:val="20"/>
              </w:rPr>
            </w:pPr>
          </w:p>
        </w:tc>
        <w:tc>
          <w:tcPr>
            <w:tcW w:w="915"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20"/>
                <w:szCs w:val="20"/>
              </w:rPr>
            </w:pPr>
          </w:p>
        </w:tc>
        <w:tc>
          <w:tcPr>
            <w:tcW w:w="1200"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31099</w:t>
            </w:r>
          </w:p>
        </w:tc>
        <w:tc>
          <w:tcPr>
            <w:tcW w:w="2040"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其他资本性支出</w:t>
            </w:r>
          </w:p>
        </w:tc>
        <w:tc>
          <w:tcPr>
            <w:tcW w:w="1635" w:type="dxa"/>
            <w:gridSpan w:val="2"/>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6.70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477" w:hRule="atLeast"/>
        </w:trPr>
        <w:tc>
          <w:tcPr>
            <w:tcW w:w="8460" w:type="dxa"/>
            <w:gridSpan w:val="12"/>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注：本表反映部门本年度一般公共预算财政拨款基本支出明细情况。</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NumType w:fmt="numberInDash"/>
          <w:cols w:space="0" w:num="1"/>
          <w:docGrid w:type="lines" w:linePitch="317" w:charSpace="0"/>
        </w:sectPr>
      </w:pPr>
    </w:p>
    <w:tbl>
      <w:tblPr>
        <w:tblStyle w:val="5"/>
        <w:tblW w:w="10485" w:type="dxa"/>
        <w:tblInd w:w="-13" w:type="dxa"/>
        <w:tblLayout w:type="fixed"/>
        <w:tblCellMar>
          <w:top w:w="15" w:type="dxa"/>
          <w:left w:w="15" w:type="dxa"/>
          <w:bottom w:w="15" w:type="dxa"/>
          <w:right w:w="15" w:type="dxa"/>
        </w:tblCellMar>
      </w:tblPr>
      <w:tblGrid>
        <w:gridCol w:w="922"/>
        <w:gridCol w:w="861"/>
        <w:gridCol w:w="62"/>
        <w:gridCol w:w="585"/>
        <w:gridCol w:w="115"/>
        <w:gridCol w:w="514"/>
        <w:gridCol w:w="336"/>
        <w:gridCol w:w="294"/>
        <w:gridCol w:w="629"/>
        <w:gridCol w:w="77"/>
        <w:gridCol w:w="915"/>
        <w:gridCol w:w="509"/>
        <w:gridCol w:w="413"/>
        <w:gridCol w:w="234"/>
        <w:gridCol w:w="630"/>
        <w:gridCol w:w="59"/>
        <w:gridCol w:w="571"/>
        <w:gridCol w:w="249"/>
        <w:gridCol w:w="381"/>
        <w:gridCol w:w="439"/>
        <w:gridCol w:w="820"/>
        <w:gridCol w:w="870"/>
      </w:tblGrid>
      <w:tr>
        <w:tblPrEx>
          <w:tblLayout w:type="fixed"/>
          <w:tblCellMar>
            <w:top w:w="15" w:type="dxa"/>
            <w:left w:w="15" w:type="dxa"/>
            <w:bottom w:w="15" w:type="dxa"/>
            <w:right w:w="15" w:type="dxa"/>
          </w:tblCellMar>
        </w:tblPrEx>
        <w:trPr>
          <w:trHeight w:val="375" w:hRule="atLeast"/>
        </w:trPr>
        <w:tc>
          <w:tcPr>
            <w:tcW w:w="10485" w:type="dxa"/>
            <w:gridSpan w:val="22"/>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一般公共预算财政拨款“三公”经费支出决算表</w:t>
            </w:r>
          </w:p>
        </w:tc>
      </w:tr>
      <w:tr>
        <w:tblPrEx>
          <w:tblLayout w:type="fixed"/>
          <w:tblCellMar>
            <w:top w:w="15" w:type="dxa"/>
            <w:left w:w="15" w:type="dxa"/>
            <w:bottom w:w="15" w:type="dxa"/>
            <w:right w:w="15" w:type="dxa"/>
          </w:tblCellMar>
        </w:tblPrEx>
        <w:trPr>
          <w:trHeight w:val="285" w:hRule="atLeast"/>
        </w:trPr>
        <w:tc>
          <w:tcPr>
            <w:tcW w:w="1783" w:type="dxa"/>
            <w:gridSpan w:val="2"/>
            <w:vAlign w:val="center"/>
          </w:tcPr>
          <w:p>
            <w:pPr>
              <w:rPr>
                <w:rFonts w:ascii="宋体" w:cs="Times New Roman"/>
                <w:color w:val="000000"/>
                <w:sz w:val="20"/>
                <w:szCs w:val="20"/>
              </w:rPr>
            </w:pPr>
          </w:p>
        </w:tc>
        <w:tc>
          <w:tcPr>
            <w:tcW w:w="647" w:type="dxa"/>
            <w:gridSpan w:val="2"/>
            <w:vAlign w:val="center"/>
          </w:tcPr>
          <w:p>
            <w:pPr>
              <w:rPr>
                <w:rFonts w:ascii="宋体" w:cs="Times New Roman"/>
                <w:color w:val="000000"/>
                <w:sz w:val="20"/>
                <w:szCs w:val="20"/>
              </w:rPr>
            </w:pPr>
          </w:p>
        </w:tc>
        <w:tc>
          <w:tcPr>
            <w:tcW w:w="629" w:type="dxa"/>
            <w:gridSpan w:val="2"/>
            <w:vAlign w:val="center"/>
          </w:tcPr>
          <w:p>
            <w:pPr>
              <w:rPr>
                <w:rFonts w:ascii="宋体" w:cs="Times New Roman"/>
                <w:color w:val="000000"/>
                <w:sz w:val="20"/>
                <w:szCs w:val="20"/>
              </w:rPr>
            </w:pPr>
          </w:p>
        </w:tc>
        <w:tc>
          <w:tcPr>
            <w:tcW w:w="630" w:type="dxa"/>
            <w:gridSpan w:val="2"/>
            <w:vAlign w:val="center"/>
          </w:tcPr>
          <w:p>
            <w:pPr>
              <w:rPr>
                <w:rFonts w:ascii="宋体" w:cs="Times New Roman"/>
                <w:color w:val="000000"/>
                <w:sz w:val="20"/>
                <w:szCs w:val="20"/>
              </w:rPr>
            </w:pPr>
          </w:p>
        </w:tc>
        <w:tc>
          <w:tcPr>
            <w:tcW w:w="629" w:type="dxa"/>
            <w:vAlign w:val="center"/>
          </w:tcPr>
          <w:p>
            <w:pPr>
              <w:rPr>
                <w:rFonts w:ascii="宋体" w:cs="Times New Roman"/>
                <w:color w:val="000000"/>
                <w:sz w:val="20"/>
                <w:szCs w:val="20"/>
              </w:rPr>
            </w:pPr>
          </w:p>
        </w:tc>
        <w:tc>
          <w:tcPr>
            <w:tcW w:w="992" w:type="dxa"/>
            <w:gridSpan w:val="2"/>
            <w:vAlign w:val="center"/>
          </w:tcPr>
          <w:p>
            <w:pPr>
              <w:rPr>
                <w:rFonts w:ascii="宋体" w:cs="Times New Roman"/>
                <w:color w:val="000000"/>
                <w:sz w:val="20"/>
                <w:szCs w:val="20"/>
              </w:rPr>
            </w:pPr>
          </w:p>
        </w:tc>
        <w:tc>
          <w:tcPr>
            <w:tcW w:w="509" w:type="dxa"/>
            <w:vAlign w:val="center"/>
          </w:tcPr>
          <w:p>
            <w:pPr>
              <w:rPr>
                <w:rFonts w:ascii="宋体" w:cs="Times New Roman"/>
                <w:color w:val="000000"/>
                <w:sz w:val="20"/>
                <w:szCs w:val="20"/>
              </w:rPr>
            </w:pPr>
          </w:p>
        </w:tc>
        <w:tc>
          <w:tcPr>
            <w:tcW w:w="647" w:type="dxa"/>
            <w:gridSpan w:val="2"/>
            <w:vAlign w:val="center"/>
          </w:tcPr>
          <w:p>
            <w:pPr>
              <w:rPr>
                <w:rFonts w:ascii="宋体" w:cs="Times New Roman"/>
                <w:color w:val="000000"/>
                <w:sz w:val="20"/>
                <w:szCs w:val="20"/>
              </w:rPr>
            </w:pPr>
          </w:p>
        </w:tc>
        <w:tc>
          <w:tcPr>
            <w:tcW w:w="630" w:type="dxa"/>
            <w:vAlign w:val="center"/>
          </w:tcPr>
          <w:p>
            <w:pPr>
              <w:rPr>
                <w:rFonts w:ascii="宋体" w:cs="Times New Roman"/>
                <w:color w:val="000000"/>
                <w:sz w:val="20"/>
                <w:szCs w:val="20"/>
              </w:rPr>
            </w:pPr>
          </w:p>
        </w:tc>
        <w:tc>
          <w:tcPr>
            <w:tcW w:w="630" w:type="dxa"/>
            <w:gridSpan w:val="2"/>
            <w:vAlign w:val="center"/>
          </w:tcPr>
          <w:p>
            <w:pPr>
              <w:rPr>
                <w:rFonts w:ascii="宋体" w:cs="Times New Roman"/>
                <w:color w:val="000000"/>
                <w:sz w:val="20"/>
                <w:szCs w:val="20"/>
              </w:rPr>
            </w:pPr>
          </w:p>
        </w:tc>
        <w:tc>
          <w:tcPr>
            <w:tcW w:w="630" w:type="dxa"/>
            <w:gridSpan w:val="2"/>
            <w:vAlign w:val="center"/>
          </w:tcPr>
          <w:p>
            <w:pPr>
              <w:rPr>
                <w:rFonts w:ascii="宋体" w:cs="Times New Roman"/>
                <w:color w:val="000000"/>
                <w:sz w:val="20"/>
                <w:szCs w:val="20"/>
              </w:rPr>
            </w:pPr>
          </w:p>
        </w:tc>
        <w:tc>
          <w:tcPr>
            <w:tcW w:w="2129" w:type="dxa"/>
            <w:gridSpan w:val="3"/>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07</w:t>
            </w:r>
            <w:r>
              <w:rPr>
                <w:rFonts w:hint="eastAsia" w:ascii="宋体" w:hAnsi="宋体" w:cs="宋体"/>
                <w:color w:val="000000"/>
                <w:kern w:val="0"/>
                <w:sz w:val="20"/>
                <w:szCs w:val="20"/>
              </w:rPr>
              <w:t>表</w:t>
            </w:r>
          </w:p>
        </w:tc>
      </w:tr>
      <w:tr>
        <w:tblPrEx>
          <w:tblLayout w:type="fixed"/>
          <w:tblCellMar>
            <w:top w:w="15" w:type="dxa"/>
            <w:left w:w="15" w:type="dxa"/>
            <w:bottom w:w="15" w:type="dxa"/>
            <w:right w:w="15" w:type="dxa"/>
          </w:tblCellMar>
        </w:tblPrEx>
        <w:trPr>
          <w:trHeight w:val="270" w:hRule="atLeast"/>
        </w:trPr>
        <w:tc>
          <w:tcPr>
            <w:tcW w:w="1783" w:type="dxa"/>
            <w:gridSpan w:val="2"/>
            <w:vAlign w:val="center"/>
          </w:tcPr>
          <w:p>
            <w:pPr>
              <w:rPr>
                <w:rFonts w:ascii="宋体" w:cs="Times New Roman"/>
                <w:color w:val="000000"/>
                <w:sz w:val="20"/>
                <w:szCs w:val="20"/>
              </w:rPr>
            </w:pPr>
          </w:p>
        </w:tc>
        <w:tc>
          <w:tcPr>
            <w:tcW w:w="647" w:type="dxa"/>
            <w:gridSpan w:val="2"/>
            <w:vAlign w:val="center"/>
          </w:tcPr>
          <w:p>
            <w:pPr>
              <w:rPr>
                <w:rFonts w:ascii="宋体" w:cs="Times New Roman"/>
                <w:color w:val="000000"/>
                <w:sz w:val="20"/>
                <w:szCs w:val="20"/>
              </w:rPr>
            </w:pPr>
          </w:p>
        </w:tc>
        <w:tc>
          <w:tcPr>
            <w:tcW w:w="629" w:type="dxa"/>
            <w:gridSpan w:val="2"/>
            <w:vAlign w:val="center"/>
          </w:tcPr>
          <w:p>
            <w:pPr>
              <w:rPr>
                <w:rFonts w:ascii="宋体" w:cs="Times New Roman"/>
                <w:color w:val="000000"/>
                <w:sz w:val="20"/>
                <w:szCs w:val="20"/>
              </w:rPr>
            </w:pPr>
          </w:p>
        </w:tc>
        <w:tc>
          <w:tcPr>
            <w:tcW w:w="630" w:type="dxa"/>
            <w:gridSpan w:val="2"/>
            <w:vAlign w:val="center"/>
          </w:tcPr>
          <w:p>
            <w:pPr>
              <w:rPr>
                <w:rFonts w:ascii="宋体" w:cs="Times New Roman"/>
                <w:color w:val="000000"/>
                <w:sz w:val="20"/>
                <w:szCs w:val="20"/>
              </w:rPr>
            </w:pPr>
          </w:p>
        </w:tc>
        <w:tc>
          <w:tcPr>
            <w:tcW w:w="629" w:type="dxa"/>
            <w:vAlign w:val="center"/>
          </w:tcPr>
          <w:p>
            <w:pPr>
              <w:rPr>
                <w:rFonts w:ascii="宋体" w:cs="Times New Roman"/>
                <w:color w:val="000000"/>
                <w:sz w:val="20"/>
                <w:szCs w:val="20"/>
              </w:rPr>
            </w:pPr>
          </w:p>
        </w:tc>
        <w:tc>
          <w:tcPr>
            <w:tcW w:w="992" w:type="dxa"/>
            <w:gridSpan w:val="2"/>
            <w:vAlign w:val="center"/>
          </w:tcPr>
          <w:p>
            <w:pPr>
              <w:rPr>
                <w:rFonts w:ascii="宋体" w:cs="Times New Roman"/>
                <w:color w:val="000000"/>
                <w:sz w:val="20"/>
                <w:szCs w:val="20"/>
              </w:rPr>
            </w:pPr>
          </w:p>
        </w:tc>
        <w:tc>
          <w:tcPr>
            <w:tcW w:w="509" w:type="dxa"/>
            <w:vAlign w:val="center"/>
          </w:tcPr>
          <w:p>
            <w:pPr>
              <w:rPr>
                <w:rFonts w:ascii="宋体" w:cs="Times New Roman"/>
                <w:color w:val="000000"/>
                <w:sz w:val="20"/>
                <w:szCs w:val="20"/>
              </w:rPr>
            </w:pPr>
          </w:p>
        </w:tc>
        <w:tc>
          <w:tcPr>
            <w:tcW w:w="647" w:type="dxa"/>
            <w:gridSpan w:val="2"/>
            <w:vAlign w:val="center"/>
          </w:tcPr>
          <w:p>
            <w:pPr>
              <w:rPr>
                <w:rFonts w:ascii="宋体" w:cs="Times New Roman"/>
                <w:color w:val="000000"/>
                <w:sz w:val="20"/>
                <w:szCs w:val="20"/>
              </w:rPr>
            </w:pPr>
          </w:p>
        </w:tc>
        <w:tc>
          <w:tcPr>
            <w:tcW w:w="630" w:type="dxa"/>
            <w:vAlign w:val="center"/>
          </w:tcPr>
          <w:p>
            <w:pPr>
              <w:rPr>
                <w:rFonts w:ascii="宋体" w:cs="Times New Roman"/>
                <w:color w:val="000000"/>
                <w:sz w:val="20"/>
                <w:szCs w:val="20"/>
              </w:rPr>
            </w:pPr>
          </w:p>
        </w:tc>
        <w:tc>
          <w:tcPr>
            <w:tcW w:w="630" w:type="dxa"/>
            <w:gridSpan w:val="2"/>
            <w:vAlign w:val="center"/>
          </w:tcPr>
          <w:p>
            <w:pPr>
              <w:rPr>
                <w:rFonts w:ascii="宋体" w:cs="Times New Roman"/>
                <w:color w:val="000000"/>
                <w:sz w:val="20"/>
                <w:szCs w:val="20"/>
              </w:rPr>
            </w:pPr>
          </w:p>
        </w:tc>
        <w:tc>
          <w:tcPr>
            <w:tcW w:w="630" w:type="dxa"/>
            <w:gridSpan w:val="2"/>
            <w:vAlign w:val="center"/>
          </w:tcPr>
          <w:p>
            <w:pPr>
              <w:rPr>
                <w:rFonts w:ascii="宋体" w:cs="Times New Roman"/>
                <w:color w:val="000000"/>
                <w:sz w:val="20"/>
                <w:szCs w:val="20"/>
              </w:rPr>
            </w:pPr>
          </w:p>
        </w:tc>
        <w:tc>
          <w:tcPr>
            <w:tcW w:w="2129" w:type="dxa"/>
            <w:gridSpan w:val="3"/>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rPr>
              <w:t>单位：万元</w:t>
            </w:r>
          </w:p>
        </w:tc>
      </w:tr>
      <w:tr>
        <w:tblPrEx>
          <w:tblLayout w:type="fixed"/>
          <w:tblCellMar>
            <w:top w:w="15" w:type="dxa"/>
            <w:left w:w="15" w:type="dxa"/>
            <w:bottom w:w="15" w:type="dxa"/>
            <w:right w:w="15" w:type="dxa"/>
          </w:tblCellMar>
        </w:tblPrEx>
        <w:trPr>
          <w:trHeight w:val="300" w:hRule="atLeast"/>
        </w:trPr>
        <w:tc>
          <w:tcPr>
            <w:tcW w:w="5310"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2016</w:t>
            </w:r>
            <w:r>
              <w:rPr>
                <w:rFonts w:hint="eastAsia" w:ascii="宋体" w:hAnsi="宋体" w:cs="宋体"/>
                <w:b/>
                <w:bCs/>
                <w:color w:val="000000"/>
                <w:kern w:val="0"/>
                <w:sz w:val="20"/>
                <w:szCs w:val="20"/>
              </w:rPr>
              <w:t>年度预算数</w:t>
            </w:r>
          </w:p>
        </w:tc>
        <w:tc>
          <w:tcPr>
            <w:tcW w:w="5175" w:type="dxa"/>
            <w:gridSpan w:val="11"/>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2016</w:t>
            </w:r>
            <w:r>
              <w:rPr>
                <w:rFonts w:hint="eastAsia" w:ascii="宋体" w:hAnsi="宋体" w:cs="宋体"/>
                <w:b/>
                <w:bCs/>
                <w:color w:val="000000"/>
                <w:kern w:val="0"/>
                <w:sz w:val="20"/>
                <w:szCs w:val="20"/>
              </w:rPr>
              <w:t>年度决算数</w:t>
            </w:r>
          </w:p>
        </w:tc>
      </w:tr>
      <w:tr>
        <w:tblPrEx>
          <w:tblLayout w:type="fixed"/>
          <w:tblCellMar>
            <w:top w:w="15" w:type="dxa"/>
            <w:left w:w="15" w:type="dxa"/>
            <w:bottom w:w="15" w:type="dxa"/>
            <w:right w:w="15" w:type="dxa"/>
          </w:tblCellMar>
        </w:tblPrEx>
        <w:trPr>
          <w:trHeight w:val="600" w:hRule="atLeast"/>
        </w:trPr>
        <w:tc>
          <w:tcPr>
            <w:tcW w:w="922" w:type="dxa"/>
            <w:vMerge w:val="restart"/>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合计</w:t>
            </w:r>
          </w:p>
        </w:tc>
        <w:tc>
          <w:tcPr>
            <w:tcW w:w="923"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因公出国（境）费</w:t>
            </w:r>
          </w:p>
        </w:tc>
        <w:tc>
          <w:tcPr>
            <w:tcW w:w="2550"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公务用车购置及运行费</w:t>
            </w:r>
          </w:p>
        </w:tc>
        <w:tc>
          <w:tcPr>
            <w:tcW w:w="91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公务接待费</w:t>
            </w:r>
          </w:p>
        </w:tc>
        <w:tc>
          <w:tcPr>
            <w:tcW w:w="92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合计</w:t>
            </w:r>
          </w:p>
        </w:tc>
        <w:tc>
          <w:tcPr>
            <w:tcW w:w="92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因公出国（境）费</w:t>
            </w:r>
          </w:p>
        </w:tc>
        <w:tc>
          <w:tcPr>
            <w:tcW w:w="2460"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公务用车购置及运行费</w:t>
            </w:r>
          </w:p>
        </w:tc>
        <w:tc>
          <w:tcPr>
            <w:tcW w:w="870" w:type="dxa"/>
            <w:vMerge w:val="restart"/>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公务接待费</w:t>
            </w:r>
          </w:p>
        </w:tc>
      </w:tr>
      <w:tr>
        <w:tblPrEx>
          <w:tblLayout w:type="fixed"/>
        </w:tblPrEx>
        <w:trPr>
          <w:trHeight w:val="600" w:hRule="atLeast"/>
        </w:trPr>
        <w:tc>
          <w:tcPr>
            <w:tcW w:w="922"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2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小计</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公务用车</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购置费</w:t>
            </w:r>
          </w:p>
        </w:tc>
        <w:tc>
          <w:tcPr>
            <w:tcW w:w="10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公务用车</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运行费</w:t>
            </w:r>
          </w:p>
        </w:tc>
        <w:tc>
          <w:tcPr>
            <w:tcW w:w="9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2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92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小计</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公务用车</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购置费</w:t>
            </w:r>
          </w:p>
        </w:tc>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公务用车</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运行费</w:t>
            </w:r>
          </w:p>
        </w:tc>
        <w:tc>
          <w:tcPr>
            <w:tcW w:w="870"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20"/>
                <w:szCs w:val="20"/>
              </w:rPr>
            </w:pPr>
          </w:p>
        </w:tc>
      </w:tr>
      <w:tr>
        <w:tblPrEx>
          <w:tblLayout w:type="fixed"/>
          <w:tblCellMar>
            <w:top w:w="15" w:type="dxa"/>
            <w:left w:w="15" w:type="dxa"/>
            <w:bottom w:w="15" w:type="dxa"/>
            <w:right w:w="15" w:type="dxa"/>
          </w:tblCellMar>
        </w:tblPrEx>
        <w:trPr>
          <w:trHeight w:val="300" w:hRule="atLeast"/>
        </w:trPr>
        <w:tc>
          <w:tcPr>
            <w:tcW w:w="922"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1</w:t>
            </w:r>
          </w:p>
        </w:tc>
        <w:tc>
          <w:tcPr>
            <w:tcW w:w="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2</w:t>
            </w: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3</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4</w:t>
            </w:r>
          </w:p>
        </w:tc>
        <w:tc>
          <w:tcPr>
            <w:tcW w:w="10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5</w:t>
            </w:r>
          </w:p>
        </w:tc>
        <w:tc>
          <w:tcPr>
            <w:tcW w:w="9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6</w:t>
            </w:r>
          </w:p>
        </w:tc>
        <w:tc>
          <w:tcPr>
            <w:tcW w:w="92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7</w:t>
            </w:r>
          </w:p>
        </w:tc>
        <w:tc>
          <w:tcPr>
            <w:tcW w:w="92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8</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9</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10</w:t>
            </w:r>
          </w:p>
        </w:tc>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11</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20"/>
                <w:szCs w:val="20"/>
              </w:rPr>
            </w:pPr>
            <w:r>
              <w:rPr>
                <w:rFonts w:ascii="宋体" w:hAnsi="宋体" w:cs="宋体"/>
                <w:color w:val="000000"/>
                <w:kern w:val="0"/>
                <w:sz w:val="20"/>
                <w:szCs w:val="20"/>
              </w:rPr>
              <w:t>12</w:t>
            </w:r>
          </w:p>
        </w:tc>
      </w:tr>
      <w:tr>
        <w:tblPrEx>
          <w:tblLayout w:type="fixed"/>
          <w:tblCellMar>
            <w:top w:w="15" w:type="dxa"/>
            <w:left w:w="15" w:type="dxa"/>
            <w:bottom w:w="15" w:type="dxa"/>
            <w:right w:w="15" w:type="dxa"/>
          </w:tblCellMar>
        </w:tblPrEx>
        <w:trPr>
          <w:trHeight w:val="600" w:hRule="atLeast"/>
        </w:trPr>
        <w:tc>
          <w:tcPr>
            <w:tcW w:w="922" w:type="dxa"/>
            <w:tcBorders>
              <w:top w:val="single" w:color="000000" w:sz="4" w:space="0"/>
              <w:left w:val="single" w:color="000000" w:sz="12" w:space="0"/>
              <w:bottom w:val="single" w:color="000000" w:sz="12"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30</w:t>
            </w:r>
          </w:p>
        </w:tc>
        <w:tc>
          <w:tcPr>
            <w:tcW w:w="923"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70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21.6</w:t>
            </w:r>
          </w:p>
        </w:tc>
        <w:tc>
          <w:tcPr>
            <w:tcW w:w="85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100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21.6</w:t>
            </w:r>
          </w:p>
        </w:tc>
        <w:tc>
          <w:tcPr>
            <w:tcW w:w="915" w:type="dxa"/>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8.4</w:t>
            </w:r>
          </w:p>
        </w:tc>
        <w:tc>
          <w:tcPr>
            <w:tcW w:w="922"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bCs/>
                <w:color w:val="000000"/>
                <w:sz w:val="20"/>
                <w:szCs w:val="20"/>
                <w:lang w:val="en-US" w:eastAsia="zh-CN"/>
              </w:rPr>
            </w:pPr>
            <w:r>
              <w:rPr>
                <w:rFonts w:hint="eastAsia" w:ascii="宋体" w:cs="Times New Roman"/>
                <w:b/>
                <w:bCs/>
                <w:color w:val="000000"/>
                <w:sz w:val="20"/>
                <w:szCs w:val="20"/>
                <w:lang w:val="en-US" w:eastAsia="zh-CN"/>
              </w:rPr>
              <w:t>35.60</w:t>
            </w:r>
          </w:p>
        </w:tc>
        <w:tc>
          <w:tcPr>
            <w:tcW w:w="923"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82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35.27</w:t>
            </w:r>
          </w:p>
        </w:tc>
        <w:tc>
          <w:tcPr>
            <w:tcW w:w="82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w:t>
            </w:r>
          </w:p>
        </w:tc>
        <w:tc>
          <w:tcPr>
            <w:tcW w:w="820" w:type="dxa"/>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35.27</w:t>
            </w:r>
          </w:p>
        </w:tc>
        <w:tc>
          <w:tcPr>
            <w:tcW w:w="870" w:type="dxa"/>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color w:val="000000"/>
                <w:sz w:val="20"/>
                <w:szCs w:val="20"/>
                <w:lang w:val="en-US" w:eastAsia="zh-CN"/>
              </w:rPr>
            </w:pPr>
            <w:r>
              <w:rPr>
                <w:rFonts w:hint="eastAsia" w:ascii="宋体" w:cs="Times New Roman"/>
                <w:color w:val="000000"/>
                <w:sz w:val="20"/>
                <w:szCs w:val="20"/>
                <w:lang w:val="en-US" w:eastAsia="zh-CN"/>
              </w:rPr>
              <w:t>0.33</w:t>
            </w:r>
          </w:p>
        </w:tc>
      </w:tr>
      <w:tr>
        <w:tblPrEx>
          <w:tblLayout w:type="fixed"/>
          <w:tblCellMar>
            <w:top w:w="15" w:type="dxa"/>
            <w:left w:w="15" w:type="dxa"/>
            <w:bottom w:w="15" w:type="dxa"/>
            <w:right w:w="15" w:type="dxa"/>
          </w:tblCellMar>
        </w:tblPrEx>
        <w:trPr>
          <w:trHeight w:val="600" w:hRule="atLeast"/>
        </w:trPr>
        <w:tc>
          <w:tcPr>
            <w:tcW w:w="10485" w:type="dxa"/>
            <w:gridSpan w:val="22"/>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注：本表反映部门本年度“三公”经费支出预决算情况。其中，</w:t>
            </w:r>
            <w:r>
              <w:rPr>
                <w:rFonts w:ascii="宋体" w:hAnsi="宋体" w:cs="宋体"/>
                <w:color w:val="000000"/>
                <w:kern w:val="0"/>
                <w:sz w:val="20"/>
                <w:szCs w:val="20"/>
              </w:rPr>
              <w:t>2016</w:t>
            </w:r>
            <w:r>
              <w:rPr>
                <w:rFonts w:hint="eastAsia" w:ascii="宋体" w:hAnsi="宋体" w:cs="宋体"/>
                <w:color w:val="000000"/>
                <w:kern w:val="0"/>
                <w:sz w:val="20"/>
                <w:szCs w:val="20"/>
              </w:rPr>
              <w:t>年度预算数为“三公”经费年初预算数，决算数是包括当年一般公共预算财政拨款和以前年度结转资金安排的实际支出。</w:t>
            </w:r>
          </w:p>
        </w:tc>
      </w:tr>
    </w:tbl>
    <w:p>
      <w:pPr>
        <w:spacing w:line="360" w:lineRule="auto"/>
        <w:jc w:val="center"/>
        <w:rPr>
          <w:rFonts w:ascii="隶书" w:hAnsi="隶书" w:eastAsia="隶书" w:cs="Times New Roman"/>
          <w:sz w:val="52"/>
          <w:szCs w:val="52"/>
        </w:rPr>
        <w:sectPr>
          <w:pgSz w:w="16838" w:h="11906" w:orient="landscape"/>
          <w:pgMar w:top="1587" w:right="1440" w:bottom="1531" w:left="1440" w:header="850" w:footer="992" w:gutter="0"/>
          <w:pgNumType w:fmt="numberInDash"/>
          <w:cols w:space="0" w:num="1"/>
          <w:docGrid w:type="lines" w:linePitch="317" w:charSpace="0"/>
        </w:sectPr>
      </w:pPr>
    </w:p>
    <w:tbl>
      <w:tblPr>
        <w:tblStyle w:val="5"/>
        <w:tblW w:w="8670" w:type="dxa"/>
        <w:tblInd w:w="-13" w:type="dxa"/>
        <w:tblLayout w:type="fixed"/>
        <w:tblCellMar>
          <w:top w:w="15" w:type="dxa"/>
          <w:left w:w="15" w:type="dxa"/>
          <w:bottom w:w="15" w:type="dxa"/>
          <w:right w:w="15" w:type="dxa"/>
        </w:tblCellMar>
      </w:tblPr>
      <w:tblGrid>
        <w:gridCol w:w="720"/>
        <w:gridCol w:w="486"/>
        <w:gridCol w:w="522"/>
        <w:gridCol w:w="672"/>
        <w:gridCol w:w="779"/>
        <w:gridCol w:w="48"/>
        <w:gridCol w:w="1"/>
        <w:gridCol w:w="1046"/>
        <w:gridCol w:w="457"/>
        <w:gridCol w:w="564"/>
        <w:gridCol w:w="193"/>
        <w:gridCol w:w="569"/>
        <w:gridCol w:w="168"/>
        <w:gridCol w:w="779"/>
        <w:gridCol w:w="316"/>
        <w:gridCol w:w="1350"/>
      </w:tblGrid>
      <w:tr>
        <w:tblPrEx>
          <w:tblLayout w:type="fixed"/>
          <w:tblCellMar>
            <w:top w:w="15" w:type="dxa"/>
            <w:left w:w="15" w:type="dxa"/>
            <w:bottom w:w="15" w:type="dxa"/>
            <w:right w:w="15" w:type="dxa"/>
          </w:tblCellMar>
        </w:tblPrEx>
        <w:trPr>
          <w:trHeight w:val="375" w:hRule="atLeast"/>
        </w:trPr>
        <w:tc>
          <w:tcPr>
            <w:tcW w:w="8670" w:type="dxa"/>
            <w:gridSpan w:val="16"/>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政府性基金预算财政拨款收入支出决算表</w:t>
            </w:r>
          </w:p>
        </w:tc>
      </w:tr>
      <w:tr>
        <w:tblPrEx>
          <w:tblLayout w:type="fixed"/>
          <w:tblCellMar>
            <w:top w:w="15" w:type="dxa"/>
            <w:left w:w="15" w:type="dxa"/>
            <w:bottom w:w="15" w:type="dxa"/>
            <w:right w:w="15" w:type="dxa"/>
          </w:tblCellMar>
        </w:tblPrEx>
        <w:trPr>
          <w:trHeight w:val="285" w:hRule="atLeast"/>
        </w:trPr>
        <w:tc>
          <w:tcPr>
            <w:tcW w:w="1206" w:type="dxa"/>
            <w:gridSpan w:val="2"/>
            <w:vAlign w:val="center"/>
          </w:tcPr>
          <w:p>
            <w:pPr>
              <w:rPr>
                <w:rFonts w:ascii="宋体" w:cs="Times New Roman"/>
                <w:color w:val="000000"/>
                <w:sz w:val="16"/>
                <w:szCs w:val="16"/>
              </w:rPr>
            </w:pPr>
          </w:p>
        </w:tc>
        <w:tc>
          <w:tcPr>
            <w:tcW w:w="1194" w:type="dxa"/>
            <w:gridSpan w:val="2"/>
            <w:vAlign w:val="center"/>
          </w:tcPr>
          <w:p>
            <w:pPr>
              <w:rPr>
                <w:rFonts w:ascii="宋体" w:cs="Times New Roman"/>
                <w:color w:val="000000"/>
                <w:sz w:val="16"/>
                <w:szCs w:val="16"/>
              </w:rPr>
            </w:pPr>
          </w:p>
        </w:tc>
        <w:tc>
          <w:tcPr>
            <w:tcW w:w="779" w:type="dxa"/>
            <w:vAlign w:val="center"/>
          </w:tcPr>
          <w:p>
            <w:pPr>
              <w:rPr>
                <w:rFonts w:ascii="宋体" w:cs="Times New Roman"/>
                <w:color w:val="000000"/>
                <w:sz w:val="16"/>
                <w:szCs w:val="16"/>
              </w:rPr>
            </w:pPr>
          </w:p>
        </w:tc>
        <w:tc>
          <w:tcPr>
            <w:tcW w:w="1095" w:type="dxa"/>
            <w:gridSpan w:val="3"/>
            <w:vAlign w:val="center"/>
          </w:tcPr>
          <w:p>
            <w:pPr>
              <w:rPr>
                <w:rFonts w:ascii="宋体" w:cs="Times New Roman"/>
                <w:color w:val="000000"/>
                <w:sz w:val="16"/>
                <w:szCs w:val="16"/>
              </w:rPr>
            </w:pPr>
          </w:p>
        </w:tc>
        <w:tc>
          <w:tcPr>
            <w:tcW w:w="457" w:type="dxa"/>
            <w:vAlign w:val="center"/>
          </w:tcPr>
          <w:p>
            <w:pPr>
              <w:rPr>
                <w:rFonts w:ascii="宋体" w:cs="Times New Roman"/>
                <w:color w:val="000000"/>
                <w:sz w:val="16"/>
                <w:szCs w:val="16"/>
              </w:rPr>
            </w:pPr>
          </w:p>
        </w:tc>
        <w:tc>
          <w:tcPr>
            <w:tcW w:w="757" w:type="dxa"/>
            <w:gridSpan w:val="2"/>
            <w:vAlign w:val="center"/>
          </w:tcPr>
          <w:p>
            <w:pPr>
              <w:rPr>
                <w:rFonts w:ascii="宋体" w:cs="Times New Roman"/>
                <w:color w:val="000000"/>
                <w:sz w:val="16"/>
                <w:szCs w:val="16"/>
              </w:rPr>
            </w:pPr>
          </w:p>
        </w:tc>
        <w:tc>
          <w:tcPr>
            <w:tcW w:w="1516" w:type="dxa"/>
            <w:gridSpan w:val="3"/>
            <w:vAlign w:val="center"/>
          </w:tcPr>
          <w:p>
            <w:pPr>
              <w:rPr>
                <w:rFonts w:ascii="宋体" w:cs="Times New Roman"/>
                <w:color w:val="000000"/>
                <w:sz w:val="16"/>
                <w:szCs w:val="16"/>
              </w:rPr>
            </w:pPr>
          </w:p>
        </w:tc>
        <w:tc>
          <w:tcPr>
            <w:tcW w:w="1666"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08</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206" w:type="dxa"/>
            <w:gridSpan w:val="2"/>
            <w:vAlign w:val="center"/>
          </w:tcPr>
          <w:p>
            <w:pPr>
              <w:rPr>
                <w:rFonts w:ascii="宋体" w:cs="Times New Roman"/>
                <w:color w:val="000000"/>
                <w:sz w:val="16"/>
                <w:szCs w:val="16"/>
              </w:rPr>
            </w:pPr>
          </w:p>
        </w:tc>
        <w:tc>
          <w:tcPr>
            <w:tcW w:w="1194" w:type="dxa"/>
            <w:gridSpan w:val="2"/>
            <w:vAlign w:val="center"/>
          </w:tcPr>
          <w:p>
            <w:pPr>
              <w:rPr>
                <w:rFonts w:ascii="宋体" w:cs="Times New Roman"/>
                <w:color w:val="000000"/>
                <w:sz w:val="16"/>
                <w:szCs w:val="16"/>
              </w:rPr>
            </w:pPr>
          </w:p>
        </w:tc>
        <w:tc>
          <w:tcPr>
            <w:tcW w:w="779" w:type="dxa"/>
            <w:vAlign w:val="center"/>
          </w:tcPr>
          <w:p>
            <w:pPr>
              <w:rPr>
                <w:rFonts w:ascii="宋体" w:cs="Times New Roman"/>
                <w:color w:val="000000"/>
                <w:sz w:val="16"/>
                <w:szCs w:val="16"/>
              </w:rPr>
            </w:pPr>
          </w:p>
        </w:tc>
        <w:tc>
          <w:tcPr>
            <w:tcW w:w="1095" w:type="dxa"/>
            <w:gridSpan w:val="3"/>
            <w:vAlign w:val="center"/>
          </w:tcPr>
          <w:p>
            <w:pPr>
              <w:rPr>
                <w:rFonts w:ascii="宋体" w:cs="Times New Roman"/>
                <w:color w:val="000000"/>
                <w:sz w:val="16"/>
                <w:szCs w:val="16"/>
              </w:rPr>
            </w:pPr>
          </w:p>
        </w:tc>
        <w:tc>
          <w:tcPr>
            <w:tcW w:w="457" w:type="dxa"/>
            <w:vAlign w:val="center"/>
          </w:tcPr>
          <w:p>
            <w:pPr>
              <w:rPr>
                <w:rFonts w:ascii="宋体" w:cs="Times New Roman"/>
                <w:color w:val="000000"/>
                <w:sz w:val="16"/>
                <w:szCs w:val="16"/>
              </w:rPr>
            </w:pPr>
          </w:p>
        </w:tc>
        <w:tc>
          <w:tcPr>
            <w:tcW w:w="757" w:type="dxa"/>
            <w:gridSpan w:val="2"/>
            <w:vAlign w:val="center"/>
          </w:tcPr>
          <w:p>
            <w:pPr>
              <w:rPr>
                <w:rFonts w:ascii="宋体" w:cs="Times New Roman"/>
                <w:color w:val="000000"/>
                <w:sz w:val="16"/>
                <w:szCs w:val="16"/>
              </w:rPr>
            </w:pPr>
          </w:p>
        </w:tc>
        <w:tc>
          <w:tcPr>
            <w:tcW w:w="1516" w:type="dxa"/>
            <w:gridSpan w:val="3"/>
            <w:vAlign w:val="center"/>
          </w:tcPr>
          <w:p>
            <w:pPr>
              <w:rPr>
                <w:rFonts w:ascii="宋体" w:cs="Times New Roman"/>
                <w:color w:val="000000"/>
                <w:sz w:val="16"/>
                <w:szCs w:val="16"/>
              </w:rPr>
            </w:pPr>
          </w:p>
        </w:tc>
        <w:tc>
          <w:tcPr>
            <w:tcW w:w="1666"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2400"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项　　目</w:t>
            </w:r>
          </w:p>
        </w:tc>
        <w:tc>
          <w:tcPr>
            <w:tcW w:w="828"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年初结转和结余</w:t>
            </w:r>
          </w:p>
        </w:tc>
        <w:tc>
          <w:tcPr>
            <w:tcW w:w="1046" w:type="dxa"/>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本年收入</w:t>
            </w:r>
          </w:p>
        </w:tc>
        <w:tc>
          <w:tcPr>
            <w:tcW w:w="3046" w:type="dxa"/>
            <w:gridSpan w:val="7"/>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本年支出</w:t>
            </w:r>
          </w:p>
        </w:tc>
        <w:tc>
          <w:tcPr>
            <w:tcW w:w="135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年末结转和结余</w:t>
            </w:r>
          </w:p>
        </w:tc>
      </w:tr>
      <w:tr>
        <w:tblPrEx>
          <w:tblLayout w:type="fixed"/>
          <w:tblCellMar>
            <w:top w:w="15" w:type="dxa"/>
            <w:left w:w="15" w:type="dxa"/>
            <w:bottom w:w="15" w:type="dxa"/>
            <w:right w:w="15" w:type="dxa"/>
          </w:tblCellMar>
        </w:tblPrEx>
        <w:trPr>
          <w:trHeight w:val="42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功能分类</w:t>
            </w:r>
            <w:r>
              <w:rPr>
                <w:rFonts w:ascii="宋体" w:cs="Times New Roman"/>
                <w:b/>
                <w:bCs/>
                <w:color w:val="000000"/>
                <w:kern w:val="0"/>
                <w:sz w:val="20"/>
                <w:szCs w:val="20"/>
              </w:rPr>
              <w:br w:type="textWrapping"/>
            </w:r>
            <w:r>
              <w:rPr>
                <w:rFonts w:hint="eastAsia" w:ascii="宋体" w:hAnsi="宋体" w:cs="宋体"/>
                <w:b/>
                <w:bCs/>
                <w:color w:val="000000"/>
                <w:kern w:val="0"/>
                <w:sz w:val="20"/>
                <w:szCs w:val="20"/>
              </w:rPr>
              <w:t>科目编码</w:t>
            </w:r>
          </w:p>
        </w:tc>
        <w:tc>
          <w:tcPr>
            <w:tcW w:w="100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科目名称</w:t>
            </w:r>
          </w:p>
        </w:tc>
        <w:tc>
          <w:tcPr>
            <w:tcW w:w="1499" w:type="dxa"/>
            <w:gridSpan w:val="3"/>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047" w:type="dxa"/>
            <w:gridSpan w:val="2"/>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20"/>
                <w:szCs w:val="20"/>
              </w:rPr>
            </w:pP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小计</w:t>
            </w:r>
          </w:p>
        </w:tc>
        <w:tc>
          <w:tcPr>
            <w:tcW w:w="76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基本支出</w:t>
            </w:r>
          </w:p>
        </w:tc>
        <w:tc>
          <w:tcPr>
            <w:tcW w:w="126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项目支出</w:t>
            </w:r>
          </w:p>
        </w:tc>
        <w:tc>
          <w:tcPr>
            <w:tcW w:w="135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20"/>
                <w:szCs w:val="20"/>
              </w:rPr>
            </w:pPr>
          </w:p>
        </w:tc>
      </w:tr>
      <w:tr>
        <w:tblPrEx>
          <w:tblLayout w:type="fixed"/>
        </w:tblPrEx>
        <w:trPr>
          <w:trHeight w:val="285" w:hRule="atLeast"/>
        </w:trPr>
        <w:tc>
          <w:tcPr>
            <w:tcW w:w="2400"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栏次</w:t>
            </w:r>
          </w:p>
        </w:tc>
        <w:tc>
          <w:tcPr>
            <w:tcW w:w="82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1</w:t>
            </w:r>
          </w:p>
        </w:tc>
        <w:tc>
          <w:tcPr>
            <w:tcW w:w="10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2</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3</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4</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5</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20"/>
                <w:szCs w:val="20"/>
              </w:rPr>
            </w:pPr>
            <w:r>
              <w:rPr>
                <w:rFonts w:ascii="宋体" w:hAnsi="宋体" w:cs="宋体"/>
                <w:b/>
                <w:bCs/>
                <w:color w:val="000000"/>
                <w:kern w:val="0"/>
                <w:sz w:val="20"/>
                <w:szCs w:val="20"/>
              </w:rPr>
              <w:t>6</w:t>
            </w:r>
          </w:p>
        </w:tc>
      </w:tr>
      <w:tr>
        <w:tblPrEx>
          <w:tblLayout w:type="fixed"/>
          <w:tblCellMar>
            <w:top w:w="15" w:type="dxa"/>
            <w:left w:w="15" w:type="dxa"/>
            <w:bottom w:w="15" w:type="dxa"/>
            <w:right w:w="15" w:type="dxa"/>
          </w:tblCellMar>
        </w:tblPrEx>
        <w:trPr>
          <w:trHeight w:val="285" w:hRule="atLeast"/>
        </w:trPr>
        <w:tc>
          <w:tcPr>
            <w:tcW w:w="2400"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合计</w:t>
            </w:r>
          </w:p>
        </w:tc>
        <w:tc>
          <w:tcPr>
            <w:tcW w:w="82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207</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文化体育与传媒支出</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42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20707</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国家电影事业发展专项资金及对应专项债务收入安排的支出</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2070701</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资助国产影片放映</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2070702</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资助城市影院</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2070703</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资助少数民族电影译制</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42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2070799</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其他国家电影事业发展专项资金支出</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ascii="宋体" w:hAnsi="宋体" w:cs="宋体"/>
                <w:b/>
                <w:bCs/>
                <w:color w:val="000000"/>
                <w:kern w:val="0"/>
                <w:sz w:val="20"/>
                <w:szCs w:val="20"/>
              </w:rPr>
              <w:t>208</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20"/>
                <w:szCs w:val="20"/>
              </w:rPr>
            </w:pPr>
            <w:r>
              <w:rPr>
                <w:rFonts w:hint="eastAsia" w:ascii="宋体" w:hAnsi="宋体" w:cs="宋体"/>
                <w:b/>
                <w:bCs/>
                <w:color w:val="000000"/>
                <w:kern w:val="0"/>
                <w:sz w:val="20"/>
                <w:szCs w:val="20"/>
              </w:rPr>
              <w:t>社会保障和就业支出</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20"/>
                <w:szCs w:val="20"/>
              </w:rPr>
            </w:pPr>
            <w:r>
              <w:rPr>
                <w:rFonts w:hint="eastAsia" w:ascii="宋体" w:hAnsi="宋体" w:cs="宋体"/>
                <w:b/>
                <w:bCs/>
                <w:color w:val="000000"/>
                <w:kern w:val="0"/>
                <w:sz w:val="20"/>
                <w:szCs w:val="20"/>
                <w:lang w:val="en-US" w:eastAsia="zh-CN"/>
              </w:rPr>
              <w:t>0</w:t>
            </w:r>
            <w:r>
              <w:rPr>
                <w:rFonts w:ascii="宋体" w:hAnsi="宋体" w:cs="宋体"/>
                <w:b/>
                <w:bCs/>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ascii="宋体" w:hAnsi="宋体" w:cs="宋体"/>
                <w:color w:val="000000"/>
                <w:kern w:val="0"/>
                <w:sz w:val="20"/>
                <w:szCs w:val="20"/>
              </w:rPr>
              <w:t>20822</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大中型水库移民后期扶持基金支出</w:t>
            </w: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20"/>
                <w:szCs w:val="20"/>
              </w:rPr>
            </w:pPr>
            <w:r>
              <w:rPr>
                <w:rFonts w:hint="eastAsia" w:ascii="宋体" w:hAnsi="宋体" w:cs="宋体"/>
                <w:color w:val="000000"/>
                <w:kern w:val="0"/>
                <w:sz w:val="20"/>
                <w:szCs w:val="20"/>
                <w:lang w:val="en-US" w:eastAsia="zh-CN"/>
              </w:rPr>
              <w:t>0</w:t>
            </w:r>
            <w:r>
              <w:rPr>
                <w:rFonts w:ascii="宋体" w:hAnsi="宋体" w:cs="宋体"/>
                <w:color w:val="000000"/>
                <w:kern w:val="0"/>
                <w:sz w:val="20"/>
                <w:szCs w:val="20"/>
              </w:rPr>
              <w:t xml:space="preserve"> </w:t>
            </w:r>
          </w:p>
        </w:tc>
      </w:tr>
      <w:tr>
        <w:tblPrEx>
          <w:tblLayout w:type="fixed"/>
          <w:tblCellMar>
            <w:top w:w="15" w:type="dxa"/>
            <w:left w:w="15" w:type="dxa"/>
            <w:bottom w:w="15" w:type="dxa"/>
            <w:right w:w="15" w:type="dxa"/>
          </w:tblCellMar>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20"/>
                <w:szCs w:val="20"/>
              </w:rPr>
            </w:pPr>
            <w:r>
              <w:rPr>
                <w:rFonts w:hint="eastAsia" w:ascii="宋体" w:hAnsi="宋体" w:cs="宋体"/>
                <w:color w:val="000000"/>
                <w:kern w:val="0"/>
                <w:sz w:val="20"/>
                <w:szCs w:val="20"/>
              </w:rPr>
              <w:t>……</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20"/>
                <w:szCs w:val="20"/>
              </w:rPr>
            </w:pP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20"/>
                <w:szCs w:val="20"/>
              </w:rPr>
            </w:pPr>
          </w:p>
        </w:tc>
      </w:tr>
      <w:tr>
        <w:tblPrEx>
          <w:tblLayout w:type="fixed"/>
          <w:tblCellMar>
            <w:top w:w="15" w:type="dxa"/>
            <w:left w:w="15" w:type="dxa"/>
            <w:bottom w:w="15" w:type="dxa"/>
            <w:right w:w="15" w:type="dxa"/>
          </w:tblCellMar>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20"/>
                <w:szCs w:val="20"/>
              </w:rPr>
            </w:pPr>
            <w:r>
              <w:rPr>
                <w:rFonts w:hint="eastAsia" w:ascii="宋体" w:hAnsi="宋体" w:cs="宋体"/>
                <w:color w:val="000000"/>
                <w:kern w:val="0"/>
                <w:sz w:val="20"/>
                <w:szCs w:val="20"/>
              </w:rPr>
              <w:t>……</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20"/>
                <w:szCs w:val="20"/>
              </w:rPr>
            </w:pP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20"/>
                <w:szCs w:val="20"/>
              </w:rPr>
            </w:pPr>
          </w:p>
        </w:tc>
      </w:tr>
      <w:tr>
        <w:tblPrEx>
          <w:tblLayout w:type="fixed"/>
        </w:tblPrEx>
        <w:trPr>
          <w:trHeight w:val="285"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20"/>
                <w:szCs w:val="20"/>
              </w:rPr>
            </w:pPr>
            <w:r>
              <w:rPr>
                <w:rFonts w:hint="eastAsia" w:ascii="宋体" w:hAnsi="宋体" w:cs="宋体"/>
                <w:color w:val="000000"/>
                <w:kern w:val="0"/>
                <w:sz w:val="20"/>
                <w:szCs w:val="20"/>
              </w:rPr>
              <w:t>……</w:t>
            </w:r>
          </w:p>
        </w:tc>
        <w:tc>
          <w:tcPr>
            <w:tcW w:w="168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20"/>
                <w:szCs w:val="20"/>
              </w:rPr>
            </w:pPr>
          </w:p>
        </w:tc>
        <w:tc>
          <w:tcPr>
            <w:tcW w:w="82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2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93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0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20"/>
                <w:szCs w:val="20"/>
              </w:rPr>
            </w:pPr>
          </w:p>
        </w:tc>
        <w:tc>
          <w:tcPr>
            <w:tcW w:w="135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20"/>
                <w:szCs w:val="20"/>
              </w:rPr>
            </w:pPr>
          </w:p>
        </w:tc>
      </w:tr>
      <w:tr>
        <w:tblPrEx>
          <w:tblLayout w:type="fixed"/>
          <w:tblCellMar>
            <w:top w:w="15" w:type="dxa"/>
            <w:left w:w="15" w:type="dxa"/>
            <w:bottom w:w="15" w:type="dxa"/>
            <w:right w:w="15" w:type="dxa"/>
          </w:tblCellMar>
        </w:tblPrEx>
        <w:trPr>
          <w:trHeight w:val="270" w:hRule="atLeast"/>
        </w:trPr>
        <w:tc>
          <w:tcPr>
            <w:tcW w:w="720"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Times New Roman"/>
                <w:color w:val="000000"/>
                <w:sz w:val="20"/>
                <w:szCs w:val="20"/>
              </w:rPr>
            </w:pPr>
            <w:r>
              <w:rPr>
                <w:rFonts w:hint="eastAsia" w:ascii="宋体" w:hAnsi="宋体" w:cs="宋体"/>
                <w:color w:val="000000"/>
                <w:kern w:val="0"/>
                <w:sz w:val="20"/>
                <w:szCs w:val="20"/>
              </w:rPr>
              <w:t>……</w:t>
            </w:r>
          </w:p>
        </w:tc>
        <w:tc>
          <w:tcPr>
            <w:tcW w:w="1680" w:type="dxa"/>
            <w:gridSpan w:val="3"/>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20"/>
                <w:szCs w:val="20"/>
              </w:rPr>
            </w:pPr>
          </w:p>
        </w:tc>
        <w:tc>
          <w:tcPr>
            <w:tcW w:w="827"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20"/>
                <w:szCs w:val="20"/>
              </w:rPr>
            </w:pPr>
          </w:p>
        </w:tc>
        <w:tc>
          <w:tcPr>
            <w:tcW w:w="1047"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20"/>
                <w:szCs w:val="20"/>
              </w:rPr>
            </w:pPr>
          </w:p>
        </w:tc>
        <w:tc>
          <w:tcPr>
            <w:tcW w:w="1021"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20"/>
                <w:szCs w:val="20"/>
              </w:rPr>
            </w:pPr>
          </w:p>
        </w:tc>
        <w:tc>
          <w:tcPr>
            <w:tcW w:w="930"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20"/>
                <w:szCs w:val="20"/>
              </w:rPr>
            </w:pPr>
          </w:p>
        </w:tc>
        <w:tc>
          <w:tcPr>
            <w:tcW w:w="109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20"/>
                <w:szCs w:val="20"/>
              </w:rPr>
            </w:pPr>
          </w:p>
        </w:tc>
        <w:tc>
          <w:tcPr>
            <w:tcW w:w="135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20"/>
                <w:szCs w:val="20"/>
              </w:rPr>
            </w:pPr>
          </w:p>
        </w:tc>
      </w:tr>
      <w:tr>
        <w:tblPrEx>
          <w:tblLayout w:type="fixed"/>
          <w:tblCellMar>
            <w:top w:w="15" w:type="dxa"/>
            <w:left w:w="15" w:type="dxa"/>
            <w:bottom w:w="15" w:type="dxa"/>
            <w:right w:w="15" w:type="dxa"/>
          </w:tblCellMar>
        </w:tblPrEx>
        <w:trPr>
          <w:trHeight w:val="285" w:hRule="atLeast"/>
        </w:trPr>
        <w:tc>
          <w:tcPr>
            <w:tcW w:w="8670" w:type="dxa"/>
            <w:gridSpan w:val="16"/>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注：本表反映部门本年度政府性基金预算财政拨款收入支出及结转和结余情况。</w:t>
            </w:r>
          </w:p>
        </w:tc>
      </w:tr>
      <w:tr>
        <w:tblPrEx>
          <w:tblLayout w:type="fixed"/>
          <w:tblCellMar>
            <w:top w:w="15" w:type="dxa"/>
            <w:left w:w="15" w:type="dxa"/>
            <w:bottom w:w="15" w:type="dxa"/>
            <w:right w:w="15" w:type="dxa"/>
          </w:tblCellMar>
        </w:tblPrEx>
        <w:trPr>
          <w:trHeight w:val="285" w:hRule="atLeast"/>
        </w:trPr>
        <w:tc>
          <w:tcPr>
            <w:tcW w:w="8670" w:type="dxa"/>
            <w:gridSpan w:val="16"/>
            <w:vAlign w:val="center"/>
          </w:tcPr>
          <w:p>
            <w:pPr>
              <w:widowControl/>
              <w:jc w:val="left"/>
              <w:textAlignment w:val="center"/>
              <w:rPr>
                <w:rFonts w:ascii="宋体" w:cs="Times New Roman"/>
                <w:b/>
                <w:bCs/>
                <w:color w:val="FF0000"/>
                <w:sz w:val="20"/>
                <w:szCs w:val="20"/>
              </w:rPr>
            </w:pPr>
            <w:r>
              <w:rPr>
                <w:rFonts w:hint="eastAsia" w:ascii="宋体" w:hAnsi="宋体" w:cs="宋体"/>
                <w:b/>
                <w:bCs/>
                <w:color w:val="FF0000"/>
                <w:kern w:val="0"/>
                <w:sz w:val="20"/>
                <w:szCs w:val="20"/>
              </w:rPr>
              <w:t>（该报表全部数据为零时）说明：</w:t>
            </w:r>
            <w:r>
              <w:rPr>
                <w:rFonts w:ascii="宋体" w:hAnsi="宋体" w:cs="宋体"/>
                <w:b/>
                <w:bCs/>
                <w:color w:val="FF0000"/>
                <w:kern w:val="0"/>
                <w:sz w:val="20"/>
                <w:szCs w:val="20"/>
              </w:rPr>
              <w:t>xx</w:t>
            </w:r>
            <w:r>
              <w:rPr>
                <w:rFonts w:hint="eastAsia" w:ascii="宋体" w:hAnsi="宋体" w:cs="宋体"/>
                <w:b/>
                <w:bCs/>
                <w:color w:val="FF0000"/>
                <w:kern w:val="0"/>
                <w:sz w:val="20"/>
                <w:szCs w:val="20"/>
              </w:rPr>
              <w:t>局（委）没有政府性基金收入，也没有使用政府性基金安排的支出，故本表无数据。</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NumType w:fmt="numberInDash"/>
          <w:cols w:space="0" w:num="1"/>
          <w:docGrid w:type="lines" w:linePitch="317" w:charSpace="0"/>
        </w:sect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center"/>
        <w:outlineLvl w:val="0"/>
        <w:rPr>
          <w:rFonts w:ascii="隶书" w:hAnsi="隶书" w:eastAsia="隶书" w:cs="Times New Roman"/>
          <w:sz w:val="48"/>
          <w:szCs w:val="48"/>
        </w:rPr>
      </w:pPr>
      <w:r>
        <w:rPr>
          <w:rFonts w:hint="eastAsia" w:ascii="隶书" w:hAnsi="隶书" w:eastAsia="隶书" w:cs="隶书"/>
          <w:sz w:val="48"/>
          <w:szCs w:val="48"/>
        </w:rPr>
        <w:t>第三部分</w:t>
      </w:r>
    </w:p>
    <w:p>
      <w:pPr>
        <w:jc w:val="center"/>
        <w:rPr>
          <w:rFonts w:hint="eastAsia" w:ascii="隶书" w:hAnsi="隶书" w:eastAsia="隶书" w:cs="Times New Roman"/>
          <w:sz w:val="48"/>
          <w:szCs w:val="48"/>
          <w:lang w:eastAsia="zh-CN"/>
        </w:rPr>
      </w:pPr>
      <w:r>
        <w:rPr>
          <w:rFonts w:hint="eastAsia" w:ascii="隶书" w:hAnsi="隶书" w:eastAsia="隶书" w:cs="Times New Roman"/>
          <w:sz w:val="48"/>
          <w:szCs w:val="48"/>
          <w:lang w:eastAsia="zh-CN"/>
        </w:rPr>
        <w:t>区委办公室</w:t>
      </w:r>
    </w:p>
    <w:p>
      <w:pPr>
        <w:jc w:val="center"/>
        <w:rPr>
          <w:rFonts w:ascii="隶书" w:hAnsi="隶书" w:eastAsia="隶书" w:cs="Times New Roman"/>
          <w:sz w:val="48"/>
          <w:szCs w:val="48"/>
        </w:rPr>
        <w:sectPr>
          <w:pgSz w:w="11906" w:h="16838"/>
          <w:pgMar w:top="1440" w:right="1531" w:bottom="1440" w:left="1587" w:header="850" w:footer="992" w:gutter="0"/>
          <w:pgNumType w:fmt="numberInDash"/>
          <w:cols w:space="0" w:num="1"/>
          <w:docGrid w:type="lines" w:linePitch="317" w:charSpace="0"/>
        </w:sectPr>
      </w:pPr>
      <w:r>
        <w:rPr>
          <w:rFonts w:ascii="隶书" w:hAnsi="隶书" w:eastAsia="隶书" w:cs="隶书"/>
          <w:sz w:val="48"/>
          <w:szCs w:val="48"/>
        </w:rPr>
        <w:t>2016</w:t>
      </w:r>
      <w:r>
        <w:rPr>
          <w:rFonts w:hint="eastAsia" w:ascii="隶书" w:hAnsi="隶书" w:eastAsia="隶书" w:cs="隶书"/>
          <w:sz w:val="48"/>
          <w:szCs w:val="48"/>
        </w:rPr>
        <w:t>年度部门决算情况说明</w:t>
      </w: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关于收入支出决算总体情况说明</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年度收入总计</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万元，支出总计</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万元，与</w:t>
      </w:r>
      <w:r>
        <w:rPr>
          <w:rFonts w:ascii="仿宋_GB2312" w:hAnsi="宋体" w:eastAsia="仿宋_GB2312" w:cs="仿宋_GB2312"/>
          <w:sz w:val="32"/>
          <w:szCs w:val="32"/>
        </w:rPr>
        <w:t>2015</w:t>
      </w:r>
      <w:r>
        <w:rPr>
          <w:rFonts w:hint="eastAsia" w:ascii="仿宋_GB2312" w:hAnsi="宋体" w:eastAsia="仿宋_GB2312" w:cs="仿宋_GB2312"/>
          <w:sz w:val="32"/>
          <w:szCs w:val="32"/>
        </w:rPr>
        <w:t>年相比，收</w:t>
      </w:r>
      <w:r>
        <w:rPr>
          <w:rFonts w:hint="eastAsia" w:ascii="仿宋_GB2312" w:hAnsi="宋体" w:eastAsia="仿宋_GB2312" w:cs="仿宋_GB2312"/>
          <w:sz w:val="32"/>
          <w:szCs w:val="32"/>
          <w:lang w:eastAsia="zh-CN"/>
        </w:rPr>
        <w:t>入</w:t>
      </w:r>
      <w:r>
        <w:rPr>
          <w:rFonts w:hint="eastAsia" w:ascii="仿宋_GB2312" w:hAnsi="宋体" w:eastAsia="仿宋_GB2312" w:cs="仿宋_GB2312"/>
          <w:sz w:val="32"/>
          <w:szCs w:val="32"/>
        </w:rPr>
        <w:t>总计增加</w:t>
      </w:r>
      <w:r>
        <w:rPr>
          <w:rFonts w:hint="eastAsia" w:ascii="仿宋_GB2312" w:hAnsi="宋体" w:eastAsia="仿宋_GB2312" w:cs="仿宋_GB2312"/>
          <w:sz w:val="32"/>
          <w:szCs w:val="32"/>
          <w:lang w:val="en-US" w:eastAsia="zh-CN"/>
        </w:rPr>
        <w:t>7万</w:t>
      </w:r>
      <w:r>
        <w:rPr>
          <w:rFonts w:hint="eastAsia" w:ascii="仿宋_GB2312" w:hAnsi="宋体" w:eastAsia="仿宋_GB2312" w:cs="仿宋_GB2312"/>
          <w:sz w:val="32"/>
          <w:szCs w:val="32"/>
        </w:rPr>
        <w:t>元，</w:t>
      </w:r>
      <w:r>
        <w:rPr>
          <w:rFonts w:hint="eastAsia" w:ascii="仿宋_GB2312" w:hAnsi="宋体" w:eastAsia="仿宋_GB2312" w:cs="仿宋_GB2312"/>
          <w:sz w:val="32"/>
          <w:szCs w:val="32"/>
          <w:lang w:eastAsia="zh-CN"/>
        </w:rPr>
        <w:t>支出总计增加</w:t>
      </w:r>
      <w:r>
        <w:rPr>
          <w:rFonts w:hint="eastAsia" w:ascii="仿宋_GB2312" w:hAnsi="宋体" w:eastAsia="仿宋_GB2312" w:cs="仿宋_GB2312"/>
          <w:sz w:val="32"/>
          <w:szCs w:val="32"/>
          <w:lang w:val="en-US" w:eastAsia="zh-CN"/>
        </w:rPr>
        <w:t>7万元，增加46%</w:t>
      </w:r>
      <w:r>
        <w:rPr>
          <w:rFonts w:hint="eastAsia" w:ascii="仿宋_GB2312" w:hAnsi="宋体" w:eastAsia="仿宋_GB2312" w:cs="仿宋_GB2312"/>
          <w:sz w:val="32"/>
          <w:szCs w:val="32"/>
        </w:rPr>
        <w:t>。</w:t>
      </w:r>
    </w:p>
    <w:p>
      <w:pPr>
        <w:adjustRightInd w:val="0"/>
        <w:snapToGrid w:val="0"/>
        <w:spacing w:line="360" w:lineRule="auto"/>
        <w:rPr>
          <w:rFonts w:ascii="仿宋_GB2312" w:hAnsi="宋体" w:eastAsia="仿宋_GB2312" w:cs="Times New Roman"/>
          <w:sz w:val="32"/>
          <w:szCs w:val="32"/>
        </w:rPr>
      </w:pPr>
    </w:p>
    <w:p>
      <w:pPr>
        <w:adjustRightInd w:val="0"/>
        <w:snapToGrid w:val="0"/>
        <w:spacing w:line="360" w:lineRule="auto"/>
        <w:rPr>
          <w:rFonts w:ascii="仿宋_GB2312" w:hAnsi="宋体" w:eastAsia="仿宋_GB2312" w:cs="Times New Roman"/>
          <w:sz w:val="32"/>
          <w:szCs w:val="32"/>
        </w:rPr>
      </w:pPr>
    </w:p>
    <w:p>
      <w:pPr>
        <w:adjustRightInd w:val="0"/>
        <w:snapToGrid w:val="0"/>
        <w:spacing w:line="360" w:lineRule="auto"/>
        <w:rPr>
          <w:rFonts w:ascii="仿宋_GB2312" w:hAnsi="宋体" w:eastAsia="仿宋_GB2312" w:cs="Times New Roman"/>
          <w:sz w:val="32"/>
          <w:szCs w:val="32"/>
        </w:rPr>
      </w:pP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关于收入决算情况说明</w:t>
      </w:r>
    </w:p>
    <w:p>
      <w:pPr>
        <w:adjustRightInd w:val="0"/>
        <w:snapToGrid w:val="0"/>
        <w:spacing w:line="360" w:lineRule="auto"/>
        <w:ind w:firstLine="640" w:firstLineChars="200"/>
        <w:rPr>
          <w:rFonts w:ascii="仿宋_GB2312" w:hAnsi="Times New Roman"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w:t>
      </w:r>
      <w:r>
        <w:rPr>
          <w:rFonts w:hint="eastAsia" w:ascii="仿宋_GB2312" w:hAnsi="Times New Roman" w:eastAsia="仿宋_GB2312" w:cs="仿宋_GB2312"/>
          <w:sz w:val="32"/>
          <w:szCs w:val="32"/>
        </w:rPr>
        <w:t>收入合计</w:t>
      </w:r>
      <w:r>
        <w:rPr>
          <w:rFonts w:hint="eastAsia" w:ascii="仿宋_GB2312" w:hAnsi="Times New Roman" w:eastAsia="仿宋_GB2312" w:cs="仿宋_GB2312"/>
          <w:sz w:val="32"/>
          <w:szCs w:val="32"/>
          <w:lang w:val="en-US" w:eastAsia="zh-CN"/>
        </w:rPr>
        <w:t>216.25</w:t>
      </w:r>
      <w:r>
        <w:rPr>
          <w:rFonts w:hint="eastAsia" w:ascii="仿宋_GB2312" w:hAnsi="Times New Roman" w:eastAsia="仿宋_GB2312" w:cs="仿宋_GB2312"/>
          <w:sz w:val="32"/>
          <w:szCs w:val="32"/>
        </w:rPr>
        <w:t>万元，其中：财政拨款收入</w:t>
      </w:r>
      <w:r>
        <w:rPr>
          <w:rFonts w:hint="eastAsia" w:ascii="仿宋_GB2312" w:hAnsi="Times New Roman" w:eastAsia="仿宋_GB2312" w:cs="仿宋_GB2312"/>
          <w:sz w:val="32"/>
          <w:szCs w:val="32"/>
          <w:lang w:val="en-US" w:eastAsia="zh-CN"/>
        </w:rPr>
        <w:t>216.25</w:t>
      </w:r>
      <w:r>
        <w:rPr>
          <w:rFonts w:hint="eastAsia" w:ascii="仿宋_GB2312" w:hAnsi="Times New Roman" w:eastAsia="仿宋_GB2312" w:cs="仿宋_GB2312"/>
          <w:sz w:val="32"/>
          <w:szCs w:val="32"/>
        </w:rPr>
        <w:t>万元，占</w:t>
      </w:r>
      <w:r>
        <w:rPr>
          <w:rFonts w:hint="eastAsia" w:ascii="仿宋_GB2312" w:hAnsi="Times New Roman" w:eastAsia="仿宋_GB2312" w:cs="仿宋_GB2312"/>
          <w:sz w:val="32"/>
          <w:szCs w:val="32"/>
          <w:lang w:val="en-US" w:eastAsia="zh-CN"/>
        </w:rPr>
        <w:t>100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；事业收入</w:t>
      </w:r>
      <w:r>
        <w:rPr>
          <w:rFonts w:hint="eastAsia" w:ascii="仿宋_GB2312" w:hAnsi="Times New Roman" w:eastAsia="仿宋_GB2312" w:cs="仿宋_GB2312"/>
          <w:sz w:val="32"/>
          <w:szCs w:val="32"/>
          <w:lang w:val="en-US" w:eastAsia="zh-CN"/>
        </w:rPr>
        <w:t>0</w:t>
      </w:r>
      <w:r>
        <w:rPr>
          <w:rFonts w:hint="eastAsia" w:ascii="仿宋_GB2312" w:hAnsi="Times New Roman" w:eastAsia="仿宋_GB2312" w:cs="仿宋_GB2312"/>
          <w:sz w:val="32"/>
          <w:szCs w:val="32"/>
        </w:rPr>
        <w:t>万元，占</w:t>
      </w:r>
      <w:r>
        <w:rPr>
          <w:rFonts w:hint="eastAsia" w:ascii="仿宋_GB2312" w:hAnsi="Times New Roman" w:eastAsia="仿宋_GB2312" w:cs="仿宋_GB2312"/>
          <w:sz w:val="32"/>
          <w:szCs w:val="32"/>
          <w:lang w:val="en-US" w:eastAsia="zh-CN"/>
        </w:rPr>
        <w:t>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；经营收入</w:t>
      </w:r>
      <w:r>
        <w:rPr>
          <w:rFonts w:hint="eastAsia" w:ascii="仿宋_GB2312" w:hAnsi="Times New Roman" w:eastAsia="仿宋_GB2312" w:cs="仿宋_GB2312"/>
          <w:sz w:val="32"/>
          <w:szCs w:val="32"/>
          <w:lang w:val="en-US" w:eastAsia="zh-CN"/>
        </w:rPr>
        <w:t>0</w:t>
      </w:r>
      <w:r>
        <w:rPr>
          <w:rFonts w:hint="eastAsia" w:ascii="仿宋_GB2312" w:hAnsi="Times New Roman" w:eastAsia="仿宋_GB2312" w:cs="仿宋_GB2312"/>
          <w:sz w:val="32"/>
          <w:szCs w:val="32"/>
        </w:rPr>
        <w:t>万元，占</w:t>
      </w:r>
      <w:r>
        <w:rPr>
          <w:rFonts w:hint="eastAsia" w:ascii="仿宋_GB2312" w:hAnsi="Times New Roman" w:eastAsia="仿宋_GB2312" w:cs="仿宋_GB2312"/>
          <w:sz w:val="32"/>
          <w:szCs w:val="32"/>
          <w:lang w:val="en-US" w:eastAsia="zh-CN"/>
        </w:rPr>
        <w:t>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；其他收入</w:t>
      </w:r>
      <w:r>
        <w:rPr>
          <w:rFonts w:hint="eastAsia" w:ascii="仿宋_GB2312" w:hAnsi="Times New Roman" w:eastAsia="仿宋_GB2312" w:cs="仿宋_GB2312"/>
          <w:sz w:val="32"/>
          <w:szCs w:val="32"/>
          <w:lang w:val="en-US" w:eastAsia="zh-CN"/>
        </w:rPr>
        <w:t>0</w:t>
      </w:r>
      <w:r>
        <w:rPr>
          <w:rFonts w:hint="eastAsia" w:ascii="仿宋_GB2312" w:hAnsi="Times New Roman" w:eastAsia="仿宋_GB2312" w:cs="仿宋_GB2312"/>
          <w:sz w:val="32"/>
          <w:szCs w:val="32"/>
        </w:rPr>
        <w:t>万元，占</w:t>
      </w:r>
      <w:r>
        <w:rPr>
          <w:rFonts w:hint="eastAsia" w:ascii="仿宋_GB2312" w:hAnsi="Times New Roman" w:eastAsia="仿宋_GB2312" w:cs="仿宋_GB2312"/>
          <w:sz w:val="32"/>
          <w:szCs w:val="32"/>
          <w:lang w:val="en-US" w:eastAsia="zh-CN"/>
        </w:rPr>
        <w:t>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p>
    <w:p>
      <w:pPr>
        <w:adjustRightInd w:val="0"/>
        <w:snapToGrid w:val="0"/>
        <w:spacing w:line="360" w:lineRule="auto"/>
        <w:ind w:firstLine="640" w:firstLineChars="200"/>
        <w:rPr>
          <w:rFonts w:ascii="仿宋_GB2312" w:hAnsi="Times New Roman" w:eastAsia="仿宋_GB2312" w:cs="Times New Roman"/>
          <w:sz w:val="32"/>
          <w:szCs w:val="32"/>
        </w:rPr>
      </w:pPr>
    </w:p>
    <w:p>
      <w:pPr>
        <w:adjustRightInd w:val="0"/>
        <w:snapToGrid w:val="0"/>
        <w:spacing w:line="360" w:lineRule="auto"/>
        <w:ind w:firstLine="640" w:firstLineChars="200"/>
        <w:rPr>
          <w:rFonts w:ascii="仿宋_GB2312" w:hAnsi="Times New Roman" w:eastAsia="仿宋_GB2312" w:cs="Times New Roman"/>
          <w:sz w:val="32"/>
          <w:szCs w:val="32"/>
        </w:rPr>
      </w:pPr>
    </w:p>
    <w:p>
      <w:pPr>
        <w:adjustRightInd w:val="0"/>
        <w:snapToGrid w:val="0"/>
        <w:spacing w:line="360" w:lineRule="auto"/>
        <w:ind w:firstLine="640" w:firstLineChars="200"/>
        <w:rPr>
          <w:rFonts w:ascii="仿宋_GB2312" w:hAnsi="Times New Roman" w:eastAsia="仿宋_GB2312" w:cs="Times New Roman"/>
          <w:sz w:val="32"/>
          <w:szCs w:val="32"/>
        </w:rPr>
      </w:pP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关于支出决算情况说明</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年度支出合计</w:t>
      </w:r>
      <w:r>
        <w:rPr>
          <w:rFonts w:hint="eastAsia" w:ascii="仿宋_GB2312" w:hAnsi="Times New Roman" w:eastAsia="仿宋_GB2312" w:cs="仿宋_GB2312"/>
          <w:sz w:val="32"/>
          <w:szCs w:val="32"/>
          <w:lang w:val="en-US" w:eastAsia="zh-CN"/>
        </w:rPr>
        <w:t>216.25</w:t>
      </w:r>
      <w:r>
        <w:rPr>
          <w:rFonts w:hint="eastAsia" w:ascii="仿宋_GB2312" w:hAnsi="宋体" w:eastAsia="仿宋_GB2312" w:cs="仿宋_GB2312"/>
          <w:sz w:val="32"/>
          <w:szCs w:val="32"/>
        </w:rPr>
        <w:t>万元，其中：基本支出</w:t>
      </w:r>
      <w:r>
        <w:rPr>
          <w:rFonts w:hint="eastAsia" w:ascii="仿宋_GB2312" w:hAnsi="Times New Roman" w:eastAsia="仿宋_GB2312" w:cs="仿宋_GB2312"/>
          <w:sz w:val="32"/>
          <w:szCs w:val="32"/>
          <w:lang w:val="en-US" w:eastAsia="zh-CN"/>
        </w:rPr>
        <w:t>216.25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；项目支出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0"/>
        </w:numPr>
        <w:adjustRightInd w:val="0"/>
        <w:snapToGrid w:val="0"/>
        <w:spacing w:line="360" w:lineRule="auto"/>
        <w:outlineLvl w:val="1"/>
        <w:rPr>
          <w:rFonts w:hint="eastAsia" w:ascii="黑体" w:hAnsi="黑体" w:eastAsia="黑体" w:cs="黑体"/>
          <w:sz w:val="32"/>
          <w:szCs w:val="32"/>
        </w:rPr>
      </w:pPr>
    </w:p>
    <w:p>
      <w:pPr>
        <w:numPr>
          <w:ilvl w:val="0"/>
          <w:numId w:val="0"/>
        </w:numPr>
        <w:adjustRightInd w:val="0"/>
        <w:snapToGrid w:val="0"/>
        <w:spacing w:line="360" w:lineRule="auto"/>
        <w:outlineLvl w:val="1"/>
        <w:rPr>
          <w:rFonts w:hint="eastAsia" w:ascii="黑体" w:hAnsi="黑体" w:eastAsia="黑体" w:cs="黑体"/>
          <w:sz w:val="32"/>
          <w:szCs w:val="32"/>
        </w:rPr>
      </w:pPr>
    </w:p>
    <w:p>
      <w:pPr>
        <w:numPr>
          <w:ilvl w:val="0"/>
          <w:numId w:val="0"/>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关于财政拨款收入支出决算总体情况说明</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年财政拨款收支总决算</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万元。与</w:t>
      </w:r>
      <w:r>
        <w:rPr>
          <w:rFonts w:ascii="仿宋_GB2312" w:hAnsi="宋体" w:eastAsia="仿宋_GB2312" w:cs="仿宋_GB2312"/>
          <w:sz w:val="32"/>
          <w:szCs w:val="32"/>
        </w:rPr>
        <w:t>2015</w:t>
      </w:r>
      <w:r>
        <w:rPr>
          <w:rFonts w:hint="eastAsia" w:ascii="仿宋_GB2312" w:hAnsi="宋体" w:eastAsia="仿宋_GB2312" w:cs="仿宋_GB2312"/>
          <w:sz w:val="32"/>
          <w:szCs w:val="32"/>
        </w:rPr>
        <w:t>年相比，财政拨款收</w:t>
      </w:r>
      <w:r>
        <w:rPr>
          <w:rFonts w:hint="eastAsia" w:ascii="仿宋_GB2312" w:hAnsi="宋体" w:eastAsia="仿宋_GB2312" w:cs="仿宋_GB2312"/>
          <w:sz w:val="32"/>
          <w:szCs w:val="32"/>
          <w:lang w:eastAsia="zh-CN"/>
        </w:rPr>
        <w:t>入</w:t>
      </w:r>
      <w:r>
        <w:rPr>
          <w:rFonts w:hint="eastAsia" w:ascii="仿宋_GB2312" w:hAnsi="宋体" w:eastAsia="仿宋_GB2312" w:cs="仿宋_GB2312"/>
          <w:sz w:val="32"/>
          <w:szCs w:val="32"/>
        </w:rPr>
        <w:t>增加</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46</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adjustRightInd w:val="0"/>
        <w:snapToGrid w:val="0"/>
        <w:spacing w:line="360" w:lineRule="auto"/>
        <w:ind w:firstLine="640" w:firstLineChars="200"/>
        <w:rPr>
          <w:rFonts w:ascii="仿宋_GB2312" w:hAnsi="宋体" w:eastAsia="仿宋_GB2312" w:cs="Times New Roman"/>
          <w:sz w:val="32"/>
          <w:szCs w:val="32"/>
        </w:rPr>
      </w:pPr>
    </w:p>
    <w:p>
      <w:pPr>
        <w:numPr>
          <w:ilvl w:val="0"/>
          <w:numId w:val="0"/>
        </w:numPr>
        <w:adjustRightInd w:val="0"/>
        <w:snapToGrid w:val="0"/>
        <w:spacing w:line="360" w:lineRule="auto"/>
        <w:ind w:firstLine="320" w:firstLineChars="100"/>
        <w:outlineLvl w:val="1"/>
        <w:rPr>
          <w:rFonts w:ascii="黑体" w:hAnsi="黑体" w:eastAsia="黑体" w:cs="Times New Roman"/>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关于一般公共预算财政拨款支出决算情况说明</w:t>
      </w:r>
    </w:p>
    <w:p>
      <w:pPr>
        <w:numPr>
          <w:ilvl w:val="0"/>
          <w:numId w:val="5"/>
        </w:numPr>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财政拨款支出决算总体情况。</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年一般公共预算财政拨款支出</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万元，占支出合计的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w:t>
      </w:r>
      <w:r>
        <w:rPr>
          <w:rFonts w:ascii="仿宋_GB2312" w:hAnsi="宋体" w:eastAsia="仿宋_GB2312" w:cs="仿宋_GB2312"/>
          <w:sz w:val="32"/>
          <w:szCs w:val="32"/>
        </w:rPr>
        <w:t>2015</w:t>
      </w:r>
      <w:r>
        <w:rPr>
          <w:rFonts w:hint="eastAsia" w:ascii="仿宋_GB2312" w:hAnsi="宋体" w:eastAsia="仿宋_GB2312" w:cs="仿宋_GB2312"/>
          <w:sz w:val="32"/>
          <w:szCs w:val="32"/>
        </w:rPr>
        <w:t>年相比，一般公共预算财政拨款支出增加</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46</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adjustRightInd w:val="0"/>
        <w:snapToGrid w:val="0"/>
        <w:spacing w:line="360" w:lineRule="auto"/>
        <w:ind w:firstLine="640" w:firstLineChars="200"/>
        <w:rPr>
          <w:rFonts w:ascii="仿宋_GB2312" w:hAnsi="宋体" w:eastAsia="仿宋_GB2312" w:cs="Times New Roman"/>
          <w:sz w:val="32"/>
          <w:szCs w:val="32"/>
        </w:rPr>
      </w:pPr>
    </w:p>
    <w:p>
      <w:pPr>
        <w:adjustRightInd w:val="0"/>
        <w:snapToGrid w:val="0"/>
        <w:spacing w:line="360" w:lineRule="auto"/>
        <w:rPr>
          <w:rFonts w:ascii="仿宋_GB2312" w:hAnsi="宋体" w:eastAsia="仿宋_GB2312" w:cs="Times New Roman"/>
          <w:sz w:val="32"/>
          <w:szCs w:val="32"/>
        </w:rPr>
      </w:pPr>
    </w:p>
    <w:p>
      <w:pPr>
        <w:numPr>
          <w:ilvl w:val="0"/>
          <w:numId w:val="5"/>
        </w:numPr>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财政拨款支出决算结构情况。</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年度一般公共预算财政拨款支出</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万元，主要用于以下方面：</w:t>
      </w:r>
      <w:r>
        <w:rPr>
          <w:rFonts w:hint="eastAsia" w:ascii="仿宋_GB2312" w:hAnsi="宋体" w:eastAsia="仿宋_GB2312" w:cs="仿宋_GB2312"/>
          <w:b/>
          <w:bCs/>
          <w:sz w:val="32"/>
          <w:szCs w:val="32"/>
        </w:rPr>
        <w:t>一般公共服务（类）</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127.74</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60</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b/>
          <w:bCs/>
          <w:sz w:val="32"/>
          <w:szCs w:val="32"/>
          <w:lang w:eastAsia="zh-CN"/>
        </w:rPr>
        <w:t>人员经费</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88.5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40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5"/>
        </w:numPr>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财政拨款支出决算具体情况。</w:t>
      </w:r>
    </w:p>
    <w:p>
      <w:pPr>
        <w:adjustRightInd w:val="0"/>
        <w:snapToGrid w:val="0"/>
        <w:spacing w:line="360" w:lineRule="auto"/>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年度一般公共预算财政拨款支出年初预算</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万元，支出决算为</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万元，完成年初预算的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adjustRightInd w:val="0"/>
        <w:snapToGrid w:val="0"/>
        <w:spacing w:line="360" w:lineRule="auto"/>
        <w:ind w:firstLine="640" w:firstLineChars="200"/>
        <w:rPr>
          <w:rFonts w:hint="eastAsia" w:ascii="仿宋_GB2312" w:hAnsi="宋体" w:eastAsia="仿宋_GB2312" w:cs="仿宋_GB2312"/>
          <w:sz w:val="32"/>
          <w:szCs w:val="32"/>
        </w:rPr>
      </w:pPr>
    </w:p>
    <w:p>
      <w:pPr>
        <w:numPr>
          <w:ilvl w:val="0"/>
          <w:numId w:val="6"/>
        </w:numPr>
        <w:adjustRightInd w:val="0"/>
        <w:snapToGrid w:val="0"/>
        <w:spacing w:line="360" w:lineRule="auto"/>
        <w:ind w:firstLine="643" w:firstLineChars="200"/>
        <w:rPr>
          <w:rFonts w:ascii="仿宋_GB2312" w:hAnsi="宋体" w:eastAsia="仿宋_GB2312" w:cs="Times New Roman"/>
          <w:b/>
          <w:bCs/>
          <w:sz w:val="32"/>
          <w:szCs w:val="32"/>
        </w:rPr>
      </w:pPr>
      <w:r>
        <w:rPr>
          <w:rFonts w:hint="eastAsia" w:ascii="仿宋_GB2312" w:hAnsi="宋体" w:eastAsia="仿宋_GB2312" w:cs="仿宋_GB2312"/>
          <w:b/>
          <w:bCs/>
          <w:sz w:val="32"/>
          <w:szCs w:val="32"/>
        </w:rPr>
        <w:t>一般公共服务（类）财政事务（款）行政运行（项）。</w:t>
      </w:r>
      <w:r>
        <w:rPr>
          <w:rFonts w:hint="eastAsia" w:ascii="仿宋_GB2312" w:hAnsi="宋体" w:eastAsia="仿宋_GB2312" w:cs="仿宋_GB2312"/>
          <w:sz w:val="32"/>
          <w:szCs w:val="32"/>
        </w:rPr>
        <w:t>年初预算为</w:t>
      </w:r>
      <w:r>
        <w:rPr>
          <w:rFonts w:hint="eastAsia" w:ascii="仿宋_GB2312" w:hAnsi="宋体" w:eastAsia="仿宋_GB2312" w:cs="仿宋_GB2312"/>
          <w:sz w:val="32"/>
          <w:szCs w:val="32"/>
          <w:lang w:val="en-US" w:eastAsia="zh-CN"/>
        </w:rPr>
        <w:t>141.9</w:t>
      </w:r>
      <w:r>
        <w:rPr>
          <w:rFonts w:hint="eastAsia" w:ascii="仿宋_GB2312" w:hAnsi="宋体" w:eastAsia="仿宋_GB2312" w:cs="仿宋_GB2312"/>
          <w:sz w:val="32"/>
          <w:szCs w:val="32"/>
        </w:rPr>
        <w:t>万元，支出决算为</w:t>
      </w:r>
      <w:r>
        <w:rPr>
          <w:rFonts w:hint="eastAsia" w:ascii="仿宋_GB2312" w:hAnsi="宋体" w:eastAsia="仿宋_GB2312" w:cs="仿宋_GB2312"/>
          <w:sz w:val="32"/>
          <w:szCs w:val="32"/>
          <w:lang w:val="en-US" w:eastAsia="zh-CN"/>
        </w:rPr>
        <w:t>141.9</w:t>
      </w:r>
      <w:r>
        <w:rPr>
          <w:rFonts w:hint="eastAsia" w:ascii="仿宋_GB2312" w:hAnsi="宋体" w:eastAsia="仿宋_GB2312" w:cs="仿宋_GB2312"/>
          <w:sz w:val="32"/>
          <w:szCs w:val="32"/>
        </w:rPr>
        <w:t>万元，完成年初预算的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0"/>
        </w:numPr>
        <w:adjustRightInd w:val="0"/>
        <w:snapToGrid w:val="0"/>
        <w:spacing w:line="360" w:lineRule="auto"/>
        <w:rPr>
          <w:rFonts w:ascii="仿宋_GB2312" w:hAnsi="宋体" w:eastAsia="仿宋_GB2312" w:cs="Times New Roman"/>
          <w:b/>
          <w:bCs/>
          <w:sz w:val="32"/>
          <w:szCs w:val="32"/>
        </w:rPr>
      </w:pPr>
    </w:p>
    <w:p>
      <w:pPr>
        <w:numPr>
          <w:ilvl w:val="0"/>
          <w:numId w:val="6"/>
        </w:numPr>
        <w:adjustRightInd w:val="0"/>
        <w:snapToGrid w:val="0"/>
        <w:spacing w:line="360" w:lineRule="auto"/>
        <w:ind w:firstLine="643" w:firstLineChars="200"/>
        <w:rPr>
          <w:rFonts w:ascii="仿宋_GB2312" w:hAnsi="宋体" w:eastAsia="仿宋_GB2312" w:cs="Times New Roman"/>
          <w:sz w:val="32"/>
          <w:szCs w:val="32"/>
        </w:rPr>
      </w:pPr>
      <w:r>
        <w:rPr>
          <w:rFonts w:hint="eastAsia" w:ascii="仿宋_GB2312" w:hAnsi="宋体" w:eastAsia="仿宋_GB2312" w:cs="仿宋_GB2312"/>
          <w:b/>
          <w:bCs/>
          <w:sz w:val="32"/>
          <w:szCs w:val="32"/>
        </w:rPr>
        <w:t>一般公共服务（类）财政事务（款）一般行政管理事务（项）。</w:t>
      </w:r>
      <w:r>
        <w:rPr>
          <w:rFonts w:hint="eastAsia" w:ascii="仿宋_GB2312" w:hAnsi="宋体" w:eastAsia="仿宋_GB2312" w:cs="仿宋_GB2312"/>
          <w:sz w:val="32"/>
          <w:szCs w:val="32"/>
        </w:rPr>
        <w:t>年初预算为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万元，支出决算为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万元，完成年初预算的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0"/>
        </w:numPr>
        <w:adjustRightInd w:val="0"/>
        <w:snapToGrid w:val="0"/>
        <w:spacing w:line="360" w:lineRule="auto"/>
        <w:rPr>
          <w:rFonts w:ascii="仿宋_GB2312" w:hAnsi="宋体" w:eastAsia="仿宋_GB2312" w:cs="Times New Roman"/>
          <w:sz w:val="32"/>
          <w:szCs w:val="32"/>
        </w:rPr>
      </w:pPr>
    </w:p>
    <w:p>
      <w:pPr>
        <w:numPr>
          <w:ilvl w:val="0"/>
          <w:numId w:val="0"/>
        </w:numPr>
        <w:adjustRightInd w:val="0"/>
        <w:snapToGrid w:val="0"/>
        <w:spacing w:line="360" w:lineRule="auto"/>
        <w:rPr>
          <w:rFonts w:ascii="仿宋_GB2312" w:hAnsi="宋体" w:eastAsia="仿宋_GB2312" w:cs="Times New Roman"/>
          <w:sz w:val="32"/>
          <w:szCs w:val="32"/>
        </w:rPr>
      </w:pPr>
    </w:p>
    <w:p>
      <w:pPr>
        <w:numPr>
          <w:ilvl w:val="0"/>
          <w:numId w:val="0"/>
        </w:numPr>
        <w:adjustRightInd w:val="0"/>
        <w:snapToGrid w:val="0"/>
        <w:spacing w:line="360" w:lineRule="auto"/>
        <w:rPr>
          <w:rFonts w:ascii="仿宋_GB2312" w:hAnsi="宋体" w:eastAsia="仿宋_GB2312" w:cs="Times New Roman"/>
          <w:sz w:val="32"/>
          <w:szCs w:val="32"/>
        </w:rPr>
      </w:pPr>
    </w:p>
    <w:p>
      <w:pPr>
        <w:numPr>
          <w:ilvl w:val="0"/>
          <w:numId w:val="0"/>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关于一般公共预算财政拨款基本支出决算情况说明</w:t>
      </w:r>
    </w:p>
    <w:p>
      <w:pPr>
        <w:adjustRightInd w:val="0"/>
        <w:snapToGrid w:val="0"/>
        <w:spacing w:line="360" w:lineRule="auto"/>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年一般公共预算财政拨款基本支出</w:t>
      </w:r>
      <w:r>
        <w:rPr>
          <w:rFonts w:hint="eastAsia" w:ascii="仿宋_GB2312" w:hAnsi="宋体" w:eastAsia="仿宋_GB2312" w:cs="仿宋_GB2312"/>
          <w:sz w:val="32"/>
          <w:szCs w:val="32"/>
          <w:lang w:val="en-US" w:eastAsia="zh-CN"/>
        </w:rPr>
        <w:t>216.25</w:t>
      </w:r>
      <w:r>
        <w:rPr>
          <w:rFonts w:hint="eastAsia" w:ascii="仿宋_GB2312" w:hAnsi="宋体" w:eastAsia="仿宋_GB2312" w:cs="仿宋_GB2312"/>
          <w:sz w:val="32"/>
          <w:szCs w:val="32"/>
        </w:rPr>
        <w:t>万元，其中：</w:t>
      </w:r>
      <w:r>
        <w:rPr>
          <w:rFonts w:hint="eastAsia" w:ascii="仿宋_GB2312" w:hAnsi="Times New Roman" w:eastAsia="仿宋_GB2312" w:cs="仿宋_GB2312"/>
          <w:spacing w:val="-1"/>
          <w:kern w:val="0"/>
          <w:sz w:val="32"/>
          <w:szCs w:val="32"/>
        </w:rPr>
        <w:t>人员经费</w:t>
      </w:r>
      <w:r>
        <w:rPr>
          <w:rFonts w:hint="eastAsia" w:ascii="仿宋_GB2312" w:hAnsi="Times New Roman" w:eastAsia="仿宋_GB2312" w:cs="仿宋_GB2312"/>
          <w:spacing w:val="-1"/>
          <w:kern w:val="0"/>
          <w:sz w:val="32"/>
          <w:szCs w:val="32"/>
          <w:lang w:val="en-US" w:eastAsia="zh-CN"/>
        </w:rPr>
        <w:t>88.5</w:t>
      </w:r>
      <w:r>
        <w:rPr>
          <w:rFonts w:hint="eastAsia" w:ascii="仿宋_GB2312" w:hAnsi="Times New Roman" w:eastAsia="仿宋_GB2312" w:cs="仿宋_GB2312"/>
          <w:spacing w:val="-1"/>
          <w:kern w:val="0"/>
          <w:sz w:val="32"/>
          <w:szCs w:val="32"/>
        </w:rPr>
        <w:t>万元</w:t>
      </w:r>
      <w:r>
        <w:rPr>
          <w:rFonts w:hint="eastAsia" w:ascii="仿宋_GB2312" w:hAnsi="宋体" w:eastAsia="仿宋_GB2312" w:cs="仿宋_GB2312"/>
          <w:sz w:val="32"/>
          <w:szCs w:val="32"/>
        </w:rPr>
        <w:t>，主要包括：基本工资、津贴补贴、</w:t>
      </w:r>
      <w:r>
        <w:rPr>
          <w:rFonts w:hint="eastAsia" w:ascii="仿宋_GB2312" w:hAnsi="宋体" w:eastAsia="仿宋_GB2312" w:cs="仿宋_GB2312"/>
          <w:sz w:val="32"/>
          <w:szCs w:val="32"/>
          <w:lang w:eastAsia="zh-CN"/>
        </w:rPr>
        <w:t>其他社会保障缴费、</w:t>
      </w:r>
      <w:r>
        <w:rPr>
          <w:rFonts w:hint="eastAsia" w:ascii="仿宋_GB2312" w:hAnsi="宋体" w:eastAsia="仿宋_GB2312" w:cs="仿宋_GB2312"/>
          <w:sz w:val="32"/>
          <w:szCs w:val="32"/>
        </w:rPr>
        <w:t>伙食补助费、</w:t>
      </w:r>
      <w:r>
        <w:rPr>
          <w:rFonts w:hint="eastAsia" w:ascii="仿宋_GB2312" w:hAnsi="宋体" w:eastAsia="仿宋_GB2312" w:cs="仿宋_GB2312"/>
          <w:sz w:val="32"/>
          <w:szCs w:val="32"/>
          <w:lang w:eastAsia="zh-CN"/>
        </w:rPr>
        <w:t>对个人和家庭的补助、退休费、住房公积金、其他对个人和家庭的补助支出</w:t>
      </w:r>
      <w:r>
        <w:rPr>
          <w:rFonts w:hint="eastAsia" w:ascii="仿宋_GB2312" w:hAnsi="宋体" w:eastAsia="仿宋_GB2312" w:cs="仿宋_GB2312"/>
          <w:sz w:val="32"/>
          <w:szCs w:val="32"/>
        </w:rPr>
        <w:t>；</w:t>
      </w:r>
      <w:r>
        <w:rPr>
          <w:rFonts w:hint="eastAsia" w:ascii="仿宋_GB2312" w:hAnsi="Times New Roman" w:eastAsia="仿宋_GB2312" w:cs="仿宋_GB2312"/>
          <w:b/>
          <w:bCs/>
          <w:spacing w:val="-1"/>
          <w:kern w:val="0"/>
          <w:sz w:val="32"/>
          <w:szCs w:val="32"/>
        </w:rPr>
        <w:t>公用经费</w:t>
      </w:r>
      <w:r>
        <w:rPr>
          <w:rFonts w:hint="eastAsia" w:ascii="仿宋_GB2312" w:hAnsi="Times New Roman" w:eastAsia="仿宋_GB2312" w:cs="仿宋_GB2312"/>
          <w:spacing w:val="-2"/>
          <w:kern w:val="0"/>
          <w:sz w:val="32"/>
          <w:szCs w:val="32"/>
          <w:lang w:val="en-US" w:eastAsia="zh-CN"/>
        </w:rPr>
        <w:t>127.74</w:t>
      </w:r>
      <w:r>
        <w:rPr>
          <w:rFonts w:hint="eastAsia" w:ascii="仿宋_GB2312" w:hAnsi="Times New Roman" w:eastAsia="仿宋_GB2312" w:cs="仿宋_GB2312"/>
          <w:spacing w:val="-2"/>
          <w:kern w:val="0"/>
          <w:sz w:val="32"/>
          <w:szCs w:val="32"/>
        </w:rPr>
        <w:t>万元</w:t>
      </w:r>
      <w:r>
        <w:rPr>
          <w:rFonts w:hint="eastAsia" w:ascii="仿宋_GB2312" w:hAnsi="宋体" w:eastAsia="仿宋_GB2312" w:cs="仿宋_GB2312"/>
          <w:sz w:val="32"/>
          <w:szCs w:val="32"/>
        </w:rPr>
        <w:t>，主要包括：</w:t>
      </w:r>
      <w:r>
        <w:rPr>
          <w:rFonts w:hint="eastAsia" w:ascii="仿宋_GB2312" w:hAnsi="宋体" w:eastAsia="仿宋_GB2312" w:cs="仿宋_GB2312"/>
          <w:sz w:val="32"/>
          <w:szCs w:val="32"/>
          <w:lang w:eastAsia="zh-CN"/>
        </w:rPr>
        <w:t>商品和服务支出、</w:t>
      </w:r>
      <w:r>
        <w:rPr>
          <w:rFonts w:hint="eastAsia" w:ascii="仿宋_GB2312" w:hAnsi="宋体" w:eastAsia="仿宋_GB2312" w:cs="仿宋_GB2312"/>
          <w:sz w:val="32"/>
          <w:szCs w:val="32"/>
        </w:rPr>
        <w:t>办公费</w:t>
      </w:r>
      <w:r>
        <w:rPr>
          <w:rFonts w:hint="eastAsia" w:ascii="仿宋_GB2312" w:hAnsi="宋体" w:eastAsia="仿宋_GB2312" w:cs="仿宋_GB2312"/>
          <w:sz w:val="32"/>
          <w:szCs w:val="32"/>
          <w:lang w:eastAsia="zh-CN"/>
        </w:rPr>
        <w:t>、印刷费、邮电费、差旅费、维修费、培训费、公务接待费、公务用车运行维护费、其他交通费用、其他商品和服务支出、其他资本性支出、办公设备购置、专用设备购置</w:t>
      </w:r>
      <w:r>
        <w:rPr>
          <w:rFonts w:hint="eastAsia" w:ascii="仿宋_GB2312" w:hAnsi="宋体" w:eastAsia="仿宋_GB2312" w:cs="仿宋_GB2312"/>
          <w:sz w:val="32"/>
          <w:szCs w:val="32"/>
        </w:rPr>
        <w:t>。</w:t>
      </w:r>
    </w:p>
    <w:p>
      <w:pPr>
        <w:adjustRightInd w:val="0"/>
        <w:snapToGrid w:val="0"/>
        <w:spacing w:line="360" w:lineRule="auto"/>
        <w:ind w:firstLine="640" w:firstLineChars="200"/>
        <w:rPr>
          <w:rFonts w:hint="eastAsia" w:ascii="仿宋_GB2312" w:hAnsi="宋体" w:eastAsia="仿宋_GB2312" w:cs="仿宋_GB2312"/>
          <w:sz w:val="32"/>
          <w:szCs w:val="32"/>
        </w:rPr>
      </w:pPr>
    </w:p>
    <w:p>
      <w:pPr>
        <w:adjustRightInd w:val="0"/>
        <w:snapToGrid w:val="0"/>
        <w:spacing w:line="360" w:lineRule="auto"/>
        <w:ind w:firstLine="640" w:firstLineChars="200"/>
        <w:rPr>
          <w:rFonts w:hint="eastAsia" w:ascii="仿宋_GB2312" w:hAnsi="宋体" w:eastAsia="仿宋_GB2312" w:cs="仿宋_GB2312"/>
          <w:sz w:val="32"/>
          <w:szCs w:val="32"/>
        </w:rPr>
      </w:pPr>
    </w:p>
    <w:p>
      <w:pPr>
        <w:numPr>
          <w:ilvl w:val="0"/>
          <w:numId w:val="0"/>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关于一般公共预算财政拨款“三公”经费支出决算情况说明</w:t>
      </w:r>
    </w:p>
    <w:p>
      <w:pPr>
        <w:numPr>
          <w:ilvl w:val="0"/>
          <w:numId w:val="7"/>
        </w:numPr>
        <w:kinsoku w:val="0"/>
        <w:overflowPunct w:val="0"/>
        <w:autoSpaceDE w:val="0"/>
        <w:autoSpaceDN w:val="0"/>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“三公”经费财政拨款支出决算总体情况说明。</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年度“三公”经费财政拨款支出预算为</w:t>
      </w:r>
      <w:r>
        <w:rPr>
          <w:rFonts w:hint="eastAsia" w:ascii="仿宋_GB2312" w:hAnsi="宋体" w:eastAsia="仿宋_GB2312" w:cs="仿宋_GB2312"/>
          <w:sz w:val="32"/>
          <w:szCs w:val="32"/>
          <w:lang w:val="en-US" w:eastAsia="zh-CN"/>
        </w:rPr>
        <w:t>30</w:t>
      </w:r>
      <w:r>
        <w:rPr>
          <w:rFonts w:hint="eastAsia" w:ascii="仿宋_GB2312" w:hAnsi="宋体" w:eastAsia="仿宋_GB2312" w:cs="仿宋_GB2312"/>
          <w:sz w:val="32"/>
          <w:szCs w:val="32"/>
        </w:rPr>
        <w:t>万元，支出决算为</w:t>
      </w:r>
      <w:r>
        <w:rPr>
          <w:rFonts w:hint="eastAsia" w:ascii="仿宋_GB2312" w:hAnsi="宋体" w:eastAsia="仿宋_GB2312" w:cs="仿宋_GB2312"/>
          <w:sz w:val="32"/>
          <w:szCs w:val="32"/>
          <w:lang w:val="en-US" w:eastAsia="zh-CN"/>
        </w:rPr>
        <w:t>35.6</w:t>
      </w:r>
      <w:r>
        <w:rPr>
          <w:rFonts w:hint="eastAsia"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，其中：因公出国（境）费支出决算为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；公务用车购置及运行费支出决算为</w:t>
      </w:r>
      <w:r>
        <w:rPr>
          <w:rFonts w:hint="eastAsia" w:ascii="仿宋_GB2312" w:hAnsi="宋体" w:eastAsia="仿宋_GB2312" w:cs="仿宋_GB2312"/>
          <w:sz w:val="32"/>
          <w:szCs w:val="32"/>
          <w:lang w:val="en-US" w:eastAsia="zh-CN"/>
        </w:rPr>
        <w:t>35.27</w:t>
      </w:r>
      <w:r>
        <w:rPr>
          <w:rFonts w:hint="eastAsia"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；公务接待费支出决算为</w:t>
      </w:r>
      <w:r>
        <w:rPr>
          <w:rFonts w:hint="eastAsia" w:ascii="仿宋_GB2312" w:hAnsi="宋体" w:eastAsia="仿宋_GB2312" w:cs="仿宋_GB2312"/>
          <w:sz w:val="32"/>
          <w:szCs w:val="32"/>
          <w:lang w:val="en-US" w:eastAsia="zh-CN"/>
        </w:rPr>
        <w:t>0.33</w:t>
      </w:r>
      <w:r>
        <w:rPr>
          <w:rFonts w:hint="eastAsia"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4</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ascii="仿宋_GB2312" w:hAnsi="宋体" w:eastAsia="仿宋_GB2312" w:cs="仿宋_GB2312"/>
          <w:sz w:val="32"/>
          <w:szCs w:val="32"/>
        </w:rPr>
        <w:t>2016</w:t>
      </w:r>
      <w:r>
        <w:rPr>
          <w:rFonts w:hint="eastAsia" w:ascii="仿宋_GB2312" w:hAnsi="宋体" w:eastAsia="仿宋_GB2312" w:cs="仿宋_GB2312"/>
          <w:sz w:val="32"/>
          <w:szCs w:val="32"/>
        </w:rPr>
        <w:t>年度“三公”经费支出决算数大于预算数的主要原因是</w:t>
      </w:r>
      <w:r>
        <w:rPr>
          <w:rFonts w:hint="eastAsia" w:ascii="仿宋_GB2312" w:hAnsi="宋体" w:eastAsia="仿宋_GB2312" w:cs="仿宋_GB2312"/>
          <w:sz w:val="32"/>
          <w:szCs w:val="32"/>
          <w:lang w:eastAsia="zh-CN"/>
        </w:rPr>
        <w:t>区委车辆平台车辆严重老化，维修、运行费用较高，超出预算；区委中心工作突发性较强，中心工作经费支出不在年初预算范围</w:t>
      </w: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年度“三公”经费财政拨款支出决算数比</w:t>
      </w:r>
      <w:r>
        <w:rPr>
          <w:rFonts w:ascii="仿宋_GB2312" w:hAnsi="宋体" w:eastAsia="仿宋_GB2312" w:cs="仿宋_GB2312"/>
          <w:sz w:val="32"/>
          <w:szCs w:val="32"/>
        </w:rPr>
        <w:t>2015</w:t>
      </w:r>
      <w:r>
        <w:rPr>
          <w:rFonts w:hint="eastAsia" w:ascii="仿宋_GB2312" w:hAnsi="宋体" w:eastAsia="仿宋_GB2312" w:cs="仿宋_GB2312"/>
          <w:sz w:val="32"/>
          <w:szCs w:val="32"/>
        </w:rPr>
        <w:t>年增加</w:t>
      </w:r>
      <w:r>
        <w:rPr>
          <w:rFonts w:hint="eastAsia" w:ascii="仿宋_GB2312" w:hAnsi="宋体" w:eastAsia="仿宋_GB2312" w:cs="仿宋_GB2312"/>
          <w:sz w:val="32"/>
          <w:szCs w:val="32"/>
          <w:lang w:val="en-US" w:eastAsia="zh-CN"/>
        </w:rPr>
        <w:t>12.74</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57</w:t>
      </w:r>
      <w:r>
        <w:rPr>
          <w:rFonts w:ascii="仿宋_GB2312" w:hAnsi="宋体" w:eastAsia="仿宋_GB2312" w:cs="仿宋_GB2312"/>
          <w:sz w:val="32"/>
          <w:szCs w:val="32"/>
        </w:rPr>
        <w:t>%</w:t>
      </w:r>
      <w:r>
        <w:rPr>
          <w:rFonts w:hint="eastAsia" w:ascii="仿宋_GB2312" w:hAnsi="宋体" w:eastAsia="仿宋_GB2312" w:cs="仿宋_GB2312"/>
          <w:sz w:val="32"/>
          <w:szCs w:val="32"/>
        </w:rPr>
        <w:t>，其中：因公出国（境）费支出决算增加（减少）</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万元，增长（下降）</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；公务用车购置及运行费支出决算增加</w:t>
      </w:r>
      <w:r>
        <w:rPr>
          <w:rFonts w:hint="eastAsia" w:ascii="仿宋_GB2312" w:hAnsi="宋体" w:eastAsia="仿宋_GB2312" w:cs="仿宋_GB2312"/>
          <w:sz w:val="32"/>
          <w:szCs w:val="32"/>
          <w:lang w:val="en-US" w:eastAsia="zh-CN"/>
        </w:rPr>
        <w:t>23.69</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32</w:t>
      </w:r>
      <w:r>
        <w:rPr>
          <w:rFonts w:ascii="仿宋_GB2312" w:hAnsi="宋体" w:eastAsia="仿宋_GB2312" w:cs="仿宋_GB2312"/>
          <w:sz w:val="32"/>
          <w:szCs w:val="32"/>
        </w:rPr>
        <w:t>%</w:t>
      </w:r>
      <w:r>
        <w:rPr>
          <w:rFonts w:hint="eastAsia" w:ascii="仿宋_GB2312" w:hAnsi="宋体" w:eastAsia="仿宋_GB2312" w:cs="仿宋_GB2312"/>
          <w:sz w:val="32"/>
          <w:szCs w:val="32"/>
        </w:rPr>
        <w:t>；公务接待费支出决算减少</w:t>
      </w:r>
      <w:r>
        <w:rPr>
          <w:rFonts w:hint="eastAsia" w:ascii="仿宋_GB2312" w:hAnsi="宋体" w:eastAsia="仿宋_GB2312" w:cs="仿宋_GB2312"/>
          <w:sz w:val="32"/>
          <w:szCs w:val="32"/>
          <w:lang w:val="en-US" w:eastAsia="zh-CN"/>
        </w:rPr>
        <w:t>1.35</w:t>
      </w:r>
      <w:r>
        <w:rPr>
          <w:rFonts w:hint="eastAsia" w:ascii="仿宋_GB2312" w:hAnsi="宋体" w:eastAsia="仿宋_GB2312" w:cs="仿宋_GB2312"/>
          <w:sz w:val="32"/>
          <w:szCs w:val="32"/>
        </w:rPr>
        <w:t>万元，下降</w:t>
      </w:r>
      <w:r>
        <w:rPr>
          <w:rFonts w:hint="eastAsia" w:ascii="仿宋_GB2312" w:hAnsi="宋体" w:eastAsia="仿宋_GB2312" w:cs="仿宋_GB2312"/>
          <w:sz w:val="32"/>
          <w:szCs w:val="32"/>
          <w:lang w:val="en-US" w:eastAsia="zh-CN"/>
        </w:rPr>
        <w:t>5.04</w:t>
      </w:r>
      <w:r>
        <w:rPr>
          <w:rFonts w:ascii="仿宋_GB2312" w:hAnsi="宋体" w:eastAsia="仿宋_GB2312" w:cs="仿宋_GB2312"/>
          <w:sz w:val="32"/>
          <w:szCs w:val="32"/>
        </w:rPr>
        <w:t>%</w:t>
      </w:r>
      <w:r>
        <w:rPr>
          <w:rFonts w:hint="eastAsia" w:ascii="仿宋_GB2312" w:hAnsi="宋体" w:eastAsia="仿宋_GB2312" w:cs="仿宋_GB2312"/>
          <w:sz w:val="32"/>
          <w:szCs w:val="32"/>
        </w:rPr>
        <w:t>。因公出国（境）费支出是</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；公务用车购置及运行费支出增加的主要原因是</w:t>
      </w:r>
      <w:r>
        <w:rPr>
          <w:rFonts w:hint="eastAsia" w:ascii="仿宋_GB2312" w:hAnsi="宋体" w:eastAsia="仿宋_GB2312" w:cs="仿宋_GB2312"/>
          <w:sz w:val="32"/>
          <w:szCs w:val="32"/>
          <w:lang w:eastAsia="zh-CN"/>
        </w:rPr>
        <w:t>区委车辆平台车辆逐年老化，维修、运行费用较高</w:t>
      </w:r>
      <w:r>
        <w:rPr>
          <w:rFonts w:hint="eastAsia" w:ascii="仿宋_GB2312" w:hAnsi="宋体" w:eastAsia="仿宋_GB2312" w:cs="仿宋_GB2312"/>
          <w:sz w:val="32"/>
          <w:szCs w:val="32"/>
        </w:rPr>
        <w:t>；公务接待费支出减少的主要原因是</w:t>
      </w:r>
      <w:r>
        <w:rPr>
          <w:rFonts w:hint="eastAsia" w:ascii="仿宋_GB2312" w:hAnsi="宋体" w:eastAsia="仿宋_GB2312" w:cs="仿宋_GB2312"/>
          <w:sz w:val="32"/>
          <w:szCs w:val="32"/>
          <w:lang w:eastAsia="zh-CN"/>
        </w:rPr>
        <w:t>严格按照中央八项规定，减少公务接待频次，降低接待标准</w:t>
      </w:r>
      <w:r>
        <w:rPr>
          <w:rFonts w:hint="eastAsia" w:ascii="仿宋_GB2312" w:hAnsi="宋体" w:eastAsia="仿宋_GB2312" w:cs="仿宋_GB2312"/>
          <w:sz w:val="32"/>
          <w:szCs w:val="32"/>
        </w:rPr>
        <w:t>。</w:t>
      </w:r>
    </w:p>
    <w:p>
      <w:pPr>
        <w:numPr>
          <w:ilvl w:val="0"/>
          <w:numId w:val="7"/>
        </w:numPr>
        <w:kinsoku w:val="0"/>
        <w:overflowPunct w:val="0"/>
        <w:autoSpaceDE w:val="0"/>
        <w:autoSpaceDN w:val="0"/>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“三公”经费财政拨款支出决算具体情况说明。</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年度“三公”经费财政拨款支出决算中，因公出国（境）费支出决算</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，出国</w:t>
      </w:r>
      <w:r>
        <w:rPr>
          <w:rFonts w:hint="eastAsia" w:ascii="仿宋_GB2312" w:hAnsi="宋体" w:eastAsia="仿宋_GB2312" w:cs="仿宋_GB2312"/>
          <w:sz w:val="32"/>
          <w:szCs w:val="32"/>
          <w:lang w:val="en-US" w:eastAsia="zh-CN"/>
        </w:rPr>
        <w:t>0人次</w:t>
      </w:r>
      <w:r>
        <w:rPr>
          <w:rFonts w:hint="eastAsia" w:ascii="仿宋_GB2312" w:hAnsi="宋体" w:eastAsia="仿宋_GB2312" w:cs="仿宋_GB2312"/>
          <w:sz w:val="32"/>
          <w:szCs w:val="32"/>
        </w:rPr>
        <w:t>；公务用车购置</w:t>
      </w:r>
      <w:r>
        <w:rPr>
          <w:rFonts w:hint="eastAsia" w:ascii="仿宋_GB2312" w:hAnsi="宋体" w:eastAsia="仿宋_GB2312" w:cs="仿宋_GB2312"/>
          <w:sz w:val="32"/>
          <w:szCs w:val="32"/>
          <w:lang w:eastAsia="zh-CN"/>
        </w:rPr>
        <w:t>费</w:t>
      </w:r>
      <w:r>
        <w:rPr>
          <w:rFonts w:hint="eastAsia" w:ascii="仿宋_GB2312" w:hAnsi="宋体" w:eastAsia="仿宋_GB2312" w:cs="仿宋_GB2312"/>
          <w:sz w:val="32"/>
          <w:szCs w:val="32"/>
          <w:lang w:val="en-US" w:eastAsia="zh-CN"/>
        </w:rPr>
        <w:t>0元，公务车</w:t>
      </w:r>
      <w:r>
        <w:rPr>
          <w:rFonts w:hint="eastAsia" w:ascii="仿宋_GB2312" w:hAnsi="宋体" w:eastAsia="仿宋_GB2312" w:cs="仿宋_GB2312"/>
          <w:sz w:val="32"/>
          <w:szCs w:val="32"/>
        </w:rPr>
        <w:t>运行费支出决算</w:t>
      </w:r>
      <w:bookmarkStart w:id="0" w:name="_GoBack"/>
      <w:bookmarkEnd w:id="0"/>
      <w:r>
        <w:rPr>
          <w:rFonts w:hint="eastAsia" w:ascii="仿宋_GB2312" w:hAnsi="宋体" w:eastAsia="仿宋_GB2312" w:cs="仿宋_GB2312"/>
          <w:sz w:val="32"/>
          <w:szCs w:val="32"/>
          <w:lang w:val="en-US" w:eastAsia="zh-CN"/>
        </w:rPr>
        <w:t>35.27</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99</w:t>
      </w:r>
      <w:r>
        <w:rPr>
          <w:rFonts w:ascii="仿宋_GB2312" w:hAnsi="宋体" w:eastAsia="仿宋_GB2312" w:cs="仿宋_GB2312"/>
          <w:sz w:val="32"/>
          <w:szCs w:val="32"/>
        </w:rPr>
        <w:t>%</w:t>
      </w:r>
      <w:r>
        <w:rPr>
          <w:rFonts w:hint="eastAsia" w:ascii="仿宋_GB2312" w:hAnsi="宋体" w:eastAsia="仿宋_GB2312" w:cs="仿宋_GB2312"/>
          <w:sz w:val="32"/>
          <w:szCs w:val="32"/>
        </w:rPr>
        <w:t>；公务接待费支出决算</w:t>
      </w:r>
      <w:r>
        <w:rPr>
          <w:rFonts w:hint="eastAsia" w:ascii="仿宋_GB2312" w:hAnsi="宋体" w:eastAsia="仿宋_GB2312" w:cs="仿宋_GB2312"/>
          <w:sz w:val="32"/>
          <w:szCs w:val="32"/>
          <w:lang w:val="en-US" w:eastAsia="zh-CN"/>
        </w:rPr>
        <w:t>0.33</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1</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sz w:val="32"/>
          <w:szCs w:val="32"/>
        </w:rPr>
      </w:pPr>
      <w:r>
        <w:rPr>
          <w:rFonts w:hint="eastAsia" w:ascii="仿宋_GB2312" w:hAnsi="宋体" w:eastAsia="仿宋_GB2312" w:cs="仿宋_GB2312"/>
          <w:b/>
          <w:bCs/>
          <w:sz w:val="32"/>
          <w:szCs w:val="32"/>
        </w:rPr>
        <w:t>因公出国（境）费</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numPr>
          <w:ilvl w:val="0"/>
          <w:numId w:val="8"/>
        </w:num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sz w:val="32"/>
          <w:szCs w:val="32"/>
        </w:rPr>
      </w:pPr>
      <w:r>
        <w:rPr>
          <w:rFonts w:hint="eastAsia" w:ascii="仿宋_GB2312" w:hAnsi="宋体" w:eastAsia="仿宋_GB2312" w:cs="仿宋_GB2312"/>
          <w:b/>
          <w:bCs/>
          <w:sz w:val="32"/>
          <w:szCs w:val="32"/>
        </w:rPr>
        <w:t>公务用车购置及运行费</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35.27</w:t>
      </w:r>
      <w:r>
        <w:rPr>
          <w:rFonts w:hint="eastAsia" w:ascii="仿宋_GB2312" w:hAnsi="宋体" w:eastAsia="仿宋_GB2312" w:cs="仿宋_GB2312"/>
          <w:sz w:val="32"/>
          <w:szCs w:val="32"/>
        </w:rPr>
        <w:t>万元。其中：</w:t>
      </w:r>
    </w:p>
    <w:p>
      <w:pPr>
        <w:kinsoku w:val="0"/>
        <w:overflowPunct w:val="0"/>
        <w:autoSpaceDE w:val="0"/>
        <w:autoSpaceDN w:val="0"/>
        <w:adjustRightInd w:val="0"/>
        <w:snapToGrid w:val="0"/>
        <w:spacing w:line="360" w:lineRule="auto"/>
        <w:ind w:firstLine="643" w:firstLineChars="200"/>
        <w:rPr>
          <w:rFonts w:hint="eastAsia" w:ascii="仿宋_GB2312" w:hAnsi="宋体" w:eastAsia="仿宋_GB2312" w:cs="仿宋_GB2312"/>
          <w:sz w:val="32"/>
          <w:szCs w:val="32"/>
        </w:rPr>
      </w:pPr>
      <w:r>
        <w:rPr>
          <w:rFonts w:hint="eastAsia" w:ascii="仿宋_GB2312" w:hAnsi="宋体" w:eastAsia="仿宋_GB2312" w:cs="仿宋_GB2312"/>
          <w:b/>
          <w:bCs/>
          <w:sz w:val="32"/>
          <w:szCs w:val="32"/>
        </w:rPr>
        <w:t>公务用车购置</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sz w:val="32"/>
          <w:szCs w:val="32"/>
        </w:rPr>
      </w:pPr>
      <w:r>
        <w:rPr>
          <w:rFonts w:hint="eastAsia" w:ascii="仿宋_GB2312" w:hAnsi="宋体" w:eastAsia="仿宋_GB2312" w:cs="仿宋_GB2312"/>
          <w:b/>
          <w:bCs/>
          <w:sz w:val="32"/>
          <w:szCs w:val="32"/>
        </w:rPr>
        <w:t>公务用车运行</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35.27</w:t>
      </w:r>
      <w:r>
        <w:rPr>
          <w:rFonts w:hint="eastAsia" w:ascii="仿宋_GB2312" w:hAnsi="宋体" w:eastAsia="仿宋_GB2312" w:cs="仿宋_GB2312"/>
          <w:sz w:val="32"/>
          <w:szCs w:val="32"/>
        </w:rPr>
        <w:t>万元。主要用于</w:t>
      </w:r>
      <w:r>
        <w:rPr>
          <w:rFonts w:hint="eastAsia" w:ascii="仿宋_GB2312" w:hAnsi="宋体" w:eastAsia="仿宋_GB2312" w:cs="仿宋_GB2312"/>
          <w:sz w:val="32"/>
          <w:szCs w:val="32"/>
          <w:lang w:eastAsia="zh-CN"/>
        </w:rPr>
        <w:t>区委车辆平台车辆使用、维修、保养</w:t>
      </w:r>
      <w:r>
        <w:rPr>
          <w:rFonts w:hint="eastAsia" w:ascii="仿宋_GB2312" w:hAnsi="宋体" w:eastAsia="仿宋_GB2312" w:cs="仿宋_GB2312"/>
          <w:sz w:val="32"/>
          <w:szCs w:val="32"/>
        </w:rPr>
        <w:t>。</w:t>
      </w:r>
      <w:r>
        <w:rPr>
          <w:rFonts w:ascii="仿宋_GB2312" w:hAnsi="宋体" w:eastAsia="仿宋_GB2312" w:cs="仿宋_GB2312"/>
          <w:sz w:val="32"/>
          <w:szCs w:val="32"/>
        </w:rPr>
        <w:t>2016</w:t>
      </w:r>
      <w:r>
        <w:rPr>
          <w:rFonts w:hint="eastAsia" w:ascii="仿宋_GB2312" w:hAnsi="宋体" w:eastAsia="仿宋_GB2312" w:cs="仿宋_GB2312"/>
          <w:sz w:val="32"/>
          <w:szCs w:val="32"/>
        </w:rPr>
        <w:t>年期末，</w:t>
      </w:r>
      <w:r>
        <w:rPr>
          <w:rFonts w:hint="eastAsia" w:ascii="仿宋_GB2312" w:hAnsi="宋体" w:eastAsia="仿宋_GB2312" w:cs="仿宋_GB2312"/>
          <w:sz w:val="32"/>
          <w:szCs w:val="32"/>
          <w:lang w:eastAsia="zh-CN"/>
        </w:rPr>
        <w:t>区委办公室</w:t>
      </w:r>
      <w:r>
        <w:rPr>
          <w:rFonts w:hint="eastAsia" w:ascii="仿宋_GB2312" w:hAnsi="宋体" w:eastAsia="仿宋_GB2312" w:cs="仿宋_GB2312"/>
          <w:sz w:val="32"/>
          <w:szCs w:val="32"/>
        </w:rPr>
        <w:t>开支财政拨款的公务用车保有量为</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量。</w:t>
      </w:r>
    </w:p>
    <w:p>
      <w:pPr>
        <w:numPr>
          <w:ilvl w:val="0"/>
          <w:numId w:val="8"/>
        </w:num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sz w:val="32"/>
          <w:szCs w:val="32"/>
        </w:rPr>
      </w:pPr>
      <w:r>
        <w:rPr>
          <w:rFonts w:hint="eastAsia" w:ascii="仿宋_GB2312" w:hAnsi="宋体" w:eastAsia="仿宋_GB2312" w:cs="仿宋_GB2312"/>
          <w:b/>
          <w:bCs/>
          <w:sz w:val="32"/>
          <w:szCs w:val="32"/>
        </w:rPr>
        <w:t>公务接待费支出</w:t>
      </w:r>
      <w:r>
        <w:rPr>
          <w:rFonts w:hint="eastAsia" w:ascii="仿宋_GB2312" w:hAnsi="宋体" w:eastAsia="仿宋_GB2312" w:cs="仿宋_GB2312"/>
          <w:b/>
          <w:bCs/>
          <w:sz w:val="32"/>
          <w:szCs w:val="32"/>
          <w:lang w:val="en-US" w:eastAsia="zh-CN"/>
        </w:rPr>
        <w:t>0.33</w:t>
      </w:r>
      <w:r>
        <w:rPr>
          <w:rFonts w:hint="eastAsia" w:ascii="仿宋_GB2312" w:hAnsi="宋体" w:eastAsia="仿宋_GB2312" w:cs="仿宋_GB2312"/>
          <w:b/>
          <w:bCs/>
          <w:sz w:val="32"/>
          <w:szCs w:val="32"/>
        </w:rPr>
        <w:t>万元。</w:t>
      </w:r>
      <w:r>
        <w:rPr>
          <w:rFonts w:hint="eastAsia" w:ascii="仿宋_GB2312" w:hAnsi="宋体" w:eastAsia="仿宋_GB2312" w:cs="仿宋_GB2312"/>
          <w:sz w:val="32"/>
          <w:szCs w:val="32"/>
        </w:rPr>
        <w:t>主要用于</w:t>
      </w:r>
      <w:r>
        <w:rPr>
          <w:rFonts w:hint="eastAsia" w:ascii="仿宋_GB2312" w:hAnsi="宋体" w:eastAsia="仿宋_GB2312" w:cs="仿宋_GB2312"/>
          <w:sz w:val="32"/>
          <w:szCs w:val="32"/>
          <w:lang w:eastAsia="zh-CN"/>
        </w:rPr>
        <w:t>接待上级调研、视察费用</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区委办公室</w:t>
      </w:r>
      <w:r>
        <w:rPr>
          <w:rFonts w:ascii="仿宋_GB2312" w:hAnsi="宋体" w:eastAsia="仿宋_GB2312" w:cs="仿宋_GB2312"/>
          <w:sz w:val="32"/>
          <w:szCs w:val="32"/>
        </w:rPr>
        <w:t>2016</w:t>
      </w:r>
      <w:r>
        <w:rPr>
          <w:rFonts w:hint="eastAsia" w:ascii="仿宋_GB2312" w:hAnsi="宋体" w:eastAsia="仿宋_GB2312" w:cs="仿宋_GB2312"/>
          <w:sz w:val="32"/>
          <w:szCs w:val="32"/>
        </w:rPr>
        <w:t>年度共接待国内来访团组</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个、来访人员</w:t>
      </w:r>
      <w:r>
        <w:rPr>
          <w:rFonts w:hint="eastAsia" w:ascii="仿宋_GB2312" w:hAnsi="宋体" w:eastAsia="仿宋_GB2312" w:cs="仿宋_GB2312"/>
          <w:sz w:val="32"/>
          <w:szCs w:val="32"/>
          <w:lang w:val="en-US" w:eastAsia="zh-CN"/>
        </w:rPr>
        <w:t>67</w:t>
      </w:r>
      <w:r>
        <w:rPr>
          <w:rFonts w:hint="eastAsia" w:ascii="仿宋_GB2312" w:hAnsi="宋体" w:eastAsia="仿宋_GB2312" w:cs="仿宋_GB2312"/>
          <w:sz w:val="32"/>
          <w:szCs w:val="32"/>
        </w:rPr>
        <w:t>人次（不包括陪同人员）。</w:t>
      </w:r>
    </w:p>
    <w:p>
      <w:pPr>
        <w:numPr>
          <w:ilvl w:val="0"/>
          <w:numId w:val="0"/>
        </w:numPr>
        <w:adjustRightInd w:val="0"/>
        <w:snapToGrid w:val="0"/>
        <w:spacing w:line="360" w:lineRule="auto"/>
        <w:ind w:firstLine="960" w:firstLineChars="300"/>
        <w:outlineLvl w:val="1"/>
        <w:rPr>
          <w:rFonts w:ascii="黑体" w:hAnsi="黑体" w:eastAsia="黑体" w:cs="Times New Roman"/>
          <w:color w:val="auto"/>
          <w:sz w:val="32"/>
          <w:szCs w:val="32"/>
          <w:u w:val="none"/>
        </w:rPr>
      </w:pPr>
      <w:r>
        <w:rPr>
          <w:rFonts w:hint="eastAsia" w:ascii="黑体" w:hAnsi="黑体" w:eastAsia="黑体" w:cs="黑体"/>
          <w:color w:val="auto"/>
          <w:sz w:val="32"/>
          <w:szCs w:val="32"/>
          <w:u w:val="none"/>
          <w:lang w:eastAsia="zh-CN"/>
        </w:rPr>
        <w:t>八、</w:t>
      </w:r>
      <w:r>
        <w:rPr>
          <w:rFonts w:hint="eastAsia" w:ascii="黑体" w:hAnsi="黑体" w:eastAsia="黑体" w:cs="黑体"/>
          <w:color w:val="auto"/>
          <w:sz w:val="32"/>
          <w:szCs w:val="32"/>
          <w:u w:val="none"/>
        </w:rPr>
        <w:t>关于预算绩效情况说明</w:t>
      </w:r>
    </w:p>
    <w:p>
      <w:pPr>
        <w:numPr>
          <w:ilvl w:val="0"/>
          <w:numId w:val="9"/>
        </w:numPr>
        <w:kinsoku w:val="0"/>
        <w:overflowPunct w:val="0"/>
        <w:autoSpaceDE w:val="0"/>
        <w:autoSpaceDN w:val="0"/>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绩效管理工作开展情况。</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根据财政预算管理要求，</w:t>
      </w:r>
      <w:r>
        <w:rPr>
          <w:rFonts w:hint="eastAsia" w:ascii="仿宋_GB2312" w:hAnsi="宋体" w:eastAsia="仿宋_GB2312" w:cs="仿宋_GB2312"/>
          <w:sz w:val="32"/>
          <w:szCs w:val="32"/>
          <w:lang w:eastAsia="zh-CN"/>
        </w:rPr>
        <w:t>区委办公室</w:t>
      </w:r>
      <w:r>
        <w:rPr>
          <w:rFonts w:hint="eastAsia" w:ascii="仿宋_GB2312" w:hAnsi="宋体" w:eastAsia="仿宋_GB2312" w:cs="仿宋_GB2312"/>
          <w:sz w:val="32"/>
          <w:szCs w:val="32"/>
        </w:rPr>
        <w:t>对</w:t>
      </w:r>
      <w:r>
        <w:rPr>
          <w:rFonts w:ascii="仿宋_GB2312" w:hAnsi="宋体" w:eastAsia="仿宋_GB2312" w:cs="仿宋_GB2312"/>
          <w:sz w:val="32"/>
          <w:szCs w:val="32"/>
        </w:rPr>
        <w:t>2016</w:t>
      </w:r>
      <w:r>
        <w:rPr>
          <w:rFonts w:hint="eastAsia" w:ascii="仿宋_GB2312" w:hAnsi="宋体" w:eastAsia="仿宋_GB2312" w:cs="仿宋_GB2312"/>
          <w:sz w:val="32"/>
          <w:szCs w:val="32"/>
        </w:rPr>
        <w:t>年度一般公共预算项目支出全面开展绩效自评。其中，一级项目</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个，二级项目</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个，共涉及预算资金</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万元，自评覆盖率达到</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仿宋_GB2312"/>
          <w:sz w:val="32"/>
          <w:szCs w:val="32"/>
        </w:rPr>
      </w:pPr>
    </w:p>
    <w:p>
      <w:pPr>
        <w:numPr>
          <w:ilvl w:val="0"/>
          <w:numId w:val="0"/>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lang w:eastAsia="zh-CN"/>
        </w:rPr>
        <w:t>九、</w:t>
      </w:r>
      <w:r>
        <w:rPr>
          <w:rFonts w:hint="eastAsia" w:ascii="黑体" w:hAnsi="黑体" w:eastAsia="黑体" w:cs="黑体"/>
          <w:sz w:val="32"/>
          <w:szCs w:val="32"/>
        </w:rPr>
        <w:t>关于政府性基金预算财政拨款支出决算情况说明</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年度政府性基金预算财政拨款支出年初预算为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万元，支出决算为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万元，完成年初预算的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仿宋_GB2312"/>
          <w:sz w:val="32"/>
          <w:szCs w:val="32"/>
          <w:lang w:val="en-US"/>
        </w:rPr>
      </w:pPr>
    </w:p>
    <w:p>
      <w:pPr>
        <w:numPr>
          <w:ilvl w:val="0"/>
          <w:numId w:val="0"/>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其他重要事项的情况说明</w:t>
      </w:r>
    </w:p>
    <w:p>
      <w:pPr>
        <w:numPr>
          <w:ilvl w:val="0"/>
          <w:numId w:val="10"/>
        </w:numPr>
        <w:kinsoku w:val="0"/>
        <w:overflowPunct w:val="0"/>
        <w:autoSpaceDE w:val="0"/>
        <w:autoSpaceDN w:val="0"/>
        <w:adjustRightInd w:val="0"/>
        <w:snapToGrid w:val="0"/>
        <w:spacing w:line="360" w:lineRule="auto"/>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楷体_GB2312"/>
          <w:kern w:val="0"/>
          <w:sz w:val="32"/>
          <w:szCs w:val="32"/>
        </w:rPr>
        <w:t>机关运行经费支出情况。</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年度机关运行经费支出</w:t>
      </w:r>
      <w:r>
        <w:rPr>
          <w:rFonts w:hint="eastAsia" w:ascii="仿宋_GB2312" w:hAnsi="宋体" w:eastAsia="仿宋_GB2312" w:cs="仿宋_GB2312"/>
          <w:sz w:val="32"/>
          <w:szCs w:val="32"/>
          <w:lang w:val="en-US" w:eastAsia="zh-CN"/>
        </w:rPr>
        <w:t>127.74</w:t>
      </w:r>
      <w:r>
        <w:rPr>
          <w:rFonts w:hint="eastAsia" w:ascii="仿宋_GB2312" w:hAnsi="宋体" w:eastAsia="仿宋_GB2312" w:cs="仿宋_GB2312"/>
          <w:sz w:val="32"/>
          <w:szCs w:val="32"/>
        </w:rPr>
        <w:t>万元，比</w:t>
      </w:r>
      <w:r>
        <w:rPr>
          <w:rFonts w:ascii="仿宋_GB2312" w:hAnsi="宋体" w:eastAsia="仿宋_GB2312" w:cs="仿宋_GB2312"/>
          <w:sz w:val="32"/>
          <w:szCs w:val="32"/>
        </w:rPr>
        <w:t>2015</w:t>
      </w:r>
      <w:r>
        <w:rPr>
          <w:rFonts w:hint="eastAsia" w:ascii="仿宋_GB2312" w:hAnsi="宋体" w:eastAsia="仿宋_GB2312" w:cs="仿宋_GB2312"/>
          <w:sz w:val="32"/>
          <w:szCs w:val="32"/>
        </w:rPr>
        <w:t>年增加</w:t>
      </w:r>
      <w:r>
        <w:rPr>
          <w:rFonts w:hint="eastAsia" w:ascii="仿宋_GB2312" w:hAnsi="宋体" w:eastAsia="仿宋_GB2312" w:cs="仿宋_GB2312"/>
          <w:sz w:val="32"/>
          <w:szCs w:val="32"/>
          <w:lang w:val="en-US" w:eastAsia="zh-CN"/>
        </w:rPr>
        <w:t>49.77</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61</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10"/>
        </w:numPr>
        <w:kinsoku w:val="0"/>
        <w:overflowPunct w:val="0"/>
        <w:autoSpaceDE w:val="0"/>
        <w:autoSpaceDN w:val="0"/>
        <w:adjustRightInd w:val="0"/>
        <w:snapToGrid w:val="0"/>
        <w:spacing w:line="360" w:lineRule="auto"/>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楷体_GB2312"/>
          <w:kern w:val="0"/>
          <w:sz w:val="32"/>
          <w:szCs w:val="32"/>
        </w:rPr>
        <w:t>政府采购支出情况。</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年度政府采购支出总额</w:t>
      </w:r>
      <w:r>
        <w:rPr>
          <w:rFonts w:hint="eastAsia" w:ascii="仿宋_GB2312" w:hAnsi="宋体" w:eastAsia="仿宋_GB2312" w:cs="仿宋_GB2312"/>
          <w:sz w:val="32"/>
          <w:szCs w:val="32"/>
          <w:lang w:val="en-US" w:eastAsia="zh-CN"/>
        </w:rPr>
        <w:t>6.7</w:t>
      </w:r>
      <w:r>
        <w:rPr>
          <w:rFonts w:hint="eastAsia" w:ascii="仿宋_GB2312" w:hAnsi="宋体" w:eastAsia="仿宋_GB2312" w:cs="仿宋_GB2312"/>
          <w:sz w:val="32"/>
          <w:szCs w:val="32"/>
        </w:rPr>
        <w:t>万元，其中：</w:t>
      </w:r>
      <w:r>
        <w:rPr>
          <w:rFonts w:hint="eastAsia" w:ascii="仿宋_GB2312" w:hAnsi="宋体" w:eastAsia="仿宋_GB2312" w:cs="仿宋_GB2312"/>
          <w:sz w:val="32"/>
          <w:szCs w:val="32"/>
          <w:lang w:eastAsia="zh-CN"/>
        </w:rPr>
        <w:t>办公设备购置</w:t>
      </w:r>
      <w:r>
        <w:rPr>
          <w:rFonts w:hint="eastAsia" w:ascii="仿宋_GB2312" w:hAnsi="宋体" w:eastAsia="仿宋_GB2312" w:cs="仿宋_GB2312"/>
          <w:sz w:val="32"/>
          <w:szCs w:val="32"/>
          <w:lang w:val="en-US" w:eastAsia="zh-CN"/>
        </w:rPr>
        <w:t>5.84万元。专用设备购置0.86万元，</w:t>
      </w:r>
      <w:r>
        <w:rPr>
          <w:rFonts w:hint="eastAsia" w:ascii="仿宋_GB2312" w:hAnsi="宋体" w:eastAsia="仿宋_GB2312" w:cs="仿宋_GB2312"/>
          <w:sz w:val="32"/>
          <w:szCs w:val="32"/>
        </w:rPr>
        <w:t>政府采购货物支出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万元，政府采购工程支出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万元，政府采购服务支出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万元。授予中小企业合同金额</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万元，占政府采购支出总额的</w:t>
      </w:r>
      <w:r>
        <w:rPr>
          <w:rFonts w:ascii="仿宋_GB2312" w:hAnsi="宋体" w:eastAsia="仿宋_GB2312" w:cs="仿宋_GB2312"/>
          <w:sz w:val="32"/>
          <w:szCs w:val="32"/>
        </w:rPr>
        <w:t>%</w:t>
      </w:r>
      <w:r>
        <w:rPr>
          <w:rFonts w:hint="eastAsia" w:ascii="仿宋_GB2312" w:hAnsi="宋体" w:eastAsia="仿宋_GB2312" w:cs="仿宋_GB2312"/>
          <w:sz w:val="32"/>
          <w:szCs w:val="32"/>
        </w:rPr>
        <w:t>，其中：授予小微企业合同金额</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万元，占政府采购支出总额的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10"/>
        </w:numPr>
        <w:kinsoku w:val="0"/>
        <w:overflowPunct w:val="0"/>
        <w:autoSpaceDE w:val="0"/>
        <w:autoSpaceDN w:val="0"/>
        <w:adjustRightInd w:val="0"/>
        <w:snapToGrid w:val="0"/>
        <w:spacing w:line="360" w:lineRule="auto"/>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楷体_GB2312"/>
          <w:kern w:val="0"/>
          <w:sz w:val="32"/>
          <w:szCs w:val="32"/>
        </w:rPr>
        <w:t>国有资产占用情况。</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年期末，</w:t>
      </w:r>
      <w:r>
        <w:rPr>
          <w:rFonts w:hint="eastAsia" w:ascii="仿宋_GB2312" w:hAnsi="宋体" w:eastAsia="仿宋_GB2312" w:cs="仿宋_GB2312"/>
          <w:sz w:val="32"/>
          <w:szCs w:val="32"/>
          <w:lang w:eastAsia="zh-CN"/>
        </w:rPr>
        <w:t>区委办公室</w:t>
      </w:r>
      <w:r>
        <w:rPr>
          <w:rFonts w:hint="eastAsia" w:ascii="仿宋_GB2312" w:hAnsi="宋体" w:eastAsia="仿宋_GB2312" w:cs="仿宋_GB2312"/>
          <w:sz w:val="32"/>
          <w:szCs w:val="32"/>
        </w:rPr>
        <w:t>共有车辆</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辆，其中：一般公务用车</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辆、一般执法执勤用车</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辆、特种专业技术用车</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辆，其他用车</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辆；单价</w:t>
      </w:r>
      <w:r>
        <w:rPr>
          <w:rFonts w:ascii="仿宋_GB2312" w:hAnsi="宋体" w:eastAsia="仿宋_GB2312" w:cs="仿宋_GB2312"/>
          <w:sz w:val="32"/>
          <w:szCs w:val="32"/>
        </w:rPr>
        <w:t>50</w:t>
      </w:r>
      <w:r>
        <w:rPr>
          <w:rFonts w:hint="eastAsia" w:ascii="仿宋_GB2312" w:hAnsi="宋体" w:eastAsia="仿宋_GB2312" w:cs="仿宋_GB2312"/>
          <w:sz w:val="32"/>
          <w:szCs w:val="32"/>
        </w:rPr>
        <w:t>万元以上通用设备</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台（套），单位价值</w:t>
      </w:r>
      <w:r>
        <w:rPr>
          <w:rFonts w:ascii="仿宋_GB2312" w:hAnsi="宋体" w:eastAsia="仿宋_GB2312" w:cs="仿宋_GB2312"/>
          <w:sz w:val="32"/>
          <w:szCs w:val="32"/>
        </w:rPr>
        <w:t>100</w:t>
      </w:r>
      <w:r>
        <w:rPr>
          <w:rFonts w:hint="eastAsia" w:ascii="仿宋_GB2312" w:hAnsi="宋体" w:eastAsia="仿宋_GB2312" w:cs="仿宋_GB2312"/>
          <w:sz w:val="32"/>
          <w:szCs w:val="32"/>
        </w:rPr>
        <w:t>万元以上专用设备</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台（套）。</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sectPr>
          <w:pgSz w:w="11906" w:h="16838"/>
          <w:pgMar w:top="1440" w:right="1531" w:bottom="1440" w:left="1587" w:header="850" w:footer="992" w:gutter="0"/>
          <w:pgNumType w:fmt="numberInDash"/>
          <w:cols w:space="0" w:num="1"/>
          <w:docGrid w:type="lines" w:linePitch="317" w:charSpace="0"/>
        </w:sect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center"/>
        <w:outlineLvl w:val="0"/>
        <w:rPr>
          <w:rFonts w:ascii="隶书" w:hAnsi="隶书" w:eastAsia="隶书" w:cs="Times New Roman"/>
          <w:sz w:val="48"/>
          <w:szCs w:val="48"/>
        </w:rPr>
        <w:sectPr>
          <w:pgSz w:w="11906" w:h="16838"/>
          <w:pgMar w:top="1440" w:right="1531" w:bottom="1440" w:left="1587" w:header="850" w:footer="992" w:gutter="0"/>
          <w:pgNumType w:fmt="numberInDash"/>
          <w:cols w:space="0" w:num="1"/>
          <w:docGrid w:type="lines" w:linePitch="317" w:charSpace="0"/>
        </w:sectPr>
      </w:pPr>
      <w:r>
        <w:rPr>
          <w:rFonts w:hint="eastAsia" w:ascii="隶书" w:hAnsi="隶书" w:eastAsia="隶书" w:cs="隶书"/>
          <w:sz w:val="48"/>
          <w:szCs w:val="48"/>
        </w:rPr>
        <w:t>第四部分　　名词解释</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（说明：请结合本部门公开</w:t>
      </w:r>
      <w:r>
        <w:rPr>
          <w:rFonts w:ascii="仿宋_GB2312" w:hAnsi="宋体" w:eastAsia="仿宋_GB2312" w:cs="仿宋_GB2312"/>
          <w:b/>
          <w:bCs/>
          <w:color w:val="000000" w:themeColor="text1"/>
          <w:sz w:val="32"/>
          <w:szCs w:val="32"/>
          <w:highlight w:val="yellow"/>
          <w14:textFill>
            <w14:solidFill>
              <w14:schemeClr w14:val="tx1"/>
            </w14:solidFill>
          </w14:textFill>
        </w:rPr>
        <w:t>01</w:t>
      </w:r>
      <w:r>
        <w:rPr>
          <w:rFonts w:hint="eastAsia" w:ascii="仿宋_GB2312" w:hAnsi="宋体" w:eastAsia="仿宋_GB2312" w:cs="仿宋_GB2312"/>
          <w:b/>
          <w:bCs/>
          <w:color w:val="000000" w:themeColor="text1"/>
          <w:sz w:val="32"/>
          <w:szCs w:val="32"/>
          <w:highlight w:val="yellow"/>
          <w14:textFill>
            <w14:solidFill>
              <w14:schemeClr w14:val="tx1"/>
            </w14:solidFill>
          </w14:textFill>
        </w:rPr>
        <w:t>至公开</w:t>
      </w:r>
      <w:r>
        <w:rPr>
          <w:rFonts w:ascii="仿宋_GB2312" w:hAnsi="宋体" w:eastAsia="仿宋_GB2312" w:cs="仿宋_GB2312"/>
          <w:b/>
          <w:bCs/>
          <w:color w:val="000000" w:themeColor="text1"/>
          <w:sz w:val="32"/>
          <w:szCs w:val="32"/>
          <w:highlight w:val="yellow"/>
          <w14:textFill>
            <w14:solidFill>
              <w14:schemeClr w14:val="tx1"/>
            </w14:solidFill>
          </w14:textFill>
        </w:rPr>
        <w:t>08</w:t>
      </w:r>
      <w:r>
        <w:rPr>
          <w:rFonts w:hint="eastAsia" w:ascii="仿宋_GB2312" w:hAnsi="宋体" w:eastAsia="仿宋_GB2312" w:cs="仿宋_GB2312"/>
          <w:b/>
          <w:bCs/>
          <w:color w:val="000000" w:themeColor="text1"/>
          <w:sz w:val="32"/>
          <w:szCs w:val="32"/>
          <w:highlight w:val="yellow"/>
          <w14:textFill>
            <w14:solidFill>
              <w14:schemeClr w14:val="tx1"/>
            </w14:solidFill>
          </w14:textFill>
        </w:rPr>
        <w:t>表给出名词解释，本单位公开表中有的、金额较大的要给出名词解释，没有的要删除！</w:t>
      </w:r>
    </w:p>
    <w:p>
      <w:pPr>
        <w:kinsoku w:val="0"/>
        <w:overflowPunct w:val="0"/>
        <w:autoSpaceDE w:val="0"/>
        <w:autoSpaceDN w:val="0"/>
        <w:adjustRightInd w:val="0"/>
        <w:snapToGrid w:val="0"/>
        <w:spacing w:line="360" w:lineRule="auto"/>
        <w:ind w:firstLine="643" w:firstLineChars="200"/>
        <w:rPr>
          <w:rFonts w:ascii="仿宋_GB2312" w:hAnsi="宋体" w:eastAsia="仿宋_GB2312" w:cs="仿宋_GB2312"/>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例</w:t>
      </w:r>
      <w:r>
        <w:rPr>
          <w:rFonts w:ascii="仿宋_GB2312" w:hAnsi="宋体" w:eastAsia="仿宋_GB2312" w:cs="仿宋_GB2312"/>
          <w:b/>
          <w:bCs/>
          <w:color w:val="000000" w:themeColor="text1"/>
          <w:sz w:val="32"/>
          <w:szCs w:val="32"/>
          <w:highlight w:val="yellow"/>
          <w14:textFill>
            <w14:solidFill>
              <w14:schemeClr w14:val="tx1"/>
            </w14:solidFill>
          </w14:textFill>
        </w:rPr>
        <w:t>1</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某部门公开</w:t>
      </w:r>
      <w:r>
        <w:rPr>
          <w:rFonts w:ascii="仿宋_GB2312" w:hAnsi="宋体" w:eastAsia="仿宋_GB2312" w:cs="仿宋_GB2312"/>
          <w:b/>
          <w:bCs/>
          <w:color w:val="000000" w:themeColor="text1"/>
          <w:sz w:val="32"/>
          <w:szCs w:val="32"/>
          <w:highlight w:val="yellow"/>
          <w14:textFill>
            <w14:solidFill>
              <w14:schemeClr w14:val="tx1"/>
            </w14:solidFill>
          </w14:textFill>
        </w:rPr>
        <w:t>01</w:t>
      </w:r>
      <w:r>
        <w:rPr>
          <w:rFonts w:hint="eastAsia" w:ascii="仿宋_GB2312" w:hAnsi="宋体" w:eastAsia="仿宋_GB2312" w:cs="仿宋_GB2312"/>
          <w:b/>
          <w:bCs/>
          <w:color w:val="000000" w:themeColor="text1"/>
          <w:sz w:val="32"/>
          <w:szCs w:val="32"/>
          <w:highlight w:val="yellow"/>
          <w14:textFill>
            <w14:solidFill>
              <w14:schemeClr w14:val="tx1"/>
            </w14:solidFill>
          </w14:textFill>
        </w:rPr>
        <w:t>表中收入栏“一、财政拨款收入”、“六、其他收入”两项有数据，则可给出以下名词解释</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一、财政拨款收入：</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二、其他收入：</w:t>
      </w:r>
    </w:p>
    <w:p>
      <w:pPr>
        <w:kinsoku w:val="0"/>
        <w:overflowPunct w:val="0"/>
        <w:autoSpaceDE w:val="0"/>
        <w:autoSpaceDN w:val="0"/>
        <w:adjustRightInd w:val="0"/>
        <w:snapToGrid w:val="0"/>
        <w:spacing w:line="360" w:lineRule="auto"/>
        <w:ind w:firstLine="643" w:firstLineChars="200"/>
        <w:jc w:val="left"/>
        <w:rPr>
          <w:rFonts w:ascii="仿宋_GB2312" w:hAnsi="宋体" w:eastAsia="仿宋_GB2312" w:cs="Times New Roman"/>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三、用事业基金弥补收支差额：</w:t>
      </w:r>
      <w:r>
        <w:rPr>
          <w:rFonts w:hint="eastAsia" w:ascii="仿宋_GB2312" w:hAnsi="宋体" w:eastAsia="仿宋_GB2312" w:cs="仿宋_GB2312"/>
          <w:color w:val="000000" w:themeColor="text1"/>
          <w:sz w:val="32"/>
          <w:szCs w:val="32"/>
          <w:highlight w:val="yellow"/>
          <w14:textFill>
            <w14:solidFill>
              <w14:schemeClr w14:val="tx1"/>
            </w14:solidFill>
          </w14:textFill>
        </w:rPr>
        <w:t>指事业单位在当年的“财政拨款收入”、“其他收入”不足以安排当年支出的情况下，使用以前年度积累的事业基金（事业单位当年收支相抵后按国家规定提取、用于弥补以后年度收支差额的基金）弥补当年收支缺口的资金。</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color w:val="000000" w:themeColor="text1"/>
          <w:sz w:val="32"/>
          <w:szCs w:val="32"/>
          <w:highlight w:val="yellow"/>
          <w14:textFill>
            <w14:solidFill>
              <w14:schemeClr w14:val="tx1"/>
            </w14:solidFill>
          </w14:textFill>
        </w:rPr>
      </w:pPr>
      <w:r>
        <w:rPr>
          <w:rFonts w:hint="eastAsia" w:ascii="仿宋_GB2312" w:hAnsi="宋体" w:eastAsia="仿宋_GB2312" w:cs="仿宋_GB2312"/>
          <w:color w:val="000000" w:themeColor="text1"/>
          <w:sz w:val="32"/>
          <w:szCs w:val="32"/>
          <w:highlight w:val="yellow"/>
          <w14:textFill>
            <w14:solidFill>
              <w14:schemeClr w14:val="tx1"/>
            </w14:solidFill>
          </w14:textFill>
        </w:rPr>
        <w:t>……</w:t>
      </w:r>
    </w:p>
    <w:p>
      <w:pPr>
        <w:kinsoku w:val="0"/>
        <w:overflowPunct w:val="0"/>
        <w:autoSpaceDE w:val="0"/>
        <w:autoSpaceDN w:val="0"/>
        <w:adjustRightInd w:val="0"/>
        <w:snapToGrid w:val="0"/>
        <w:spacing w:line="360" w:lineRule="auto"/>
        <w:ind w:firstLine="643" w:firstLineChars="200"/>
        <w:rPr>
          <w:rFonts w:ascii="仿宋_GB2312" w:hAnsi="宋体" w:eastAsia="仿宋_GB2312" w:cs="仿宋_GB2312"/>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例</w:t>
      </w:r>
      <w:r>
        <w:rPr>
          <w:rFonts w:ascii="仿宋_GB2312" w:hAnsi="宋体" w:eastAsia="仿宋_GB2312" w:cs="仿宋_GB2312"/>
          <w:b/>
          <w:bCs/>
          <w:color w:val="000000" w:themeColor="text1"/>
          <w:sz w:val="32"/>
          <w:szCs w:val="32"/>
          <w:highlight w:val="yellow"/>
          <w14:textFill>
            <w14:solidFill>
              <w14:schemeClr w14:val="tx1"/>
            </w14:solidFill>
          </w14:textFill>
        </w:rPr>
        <w:t>2</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某部门公开</w:t>
      </w:r>
      <w:r>
        <w:rPr>
          <w:rFonts w:ascii="仿宋_GB2312" w:hAnsi="宋体" w:eastAsia="仿宋_GB2312" w:cs="仿宋_GB2312"/>
          <w:b/>
          <w:bCs/>
          <w:color w:val="000000" w:themeColor="text1"/>
          <w:sz w:val="32"/>
          <w:szCs w:val="32"/>
          <w:highlight w:val="yellow"/>
          <w14:textFill>
            <w14:solidFill>
              <w14:schemeClr w14:val="tx1"/>
            </w14:solidFill>
          </w14:textFill>
        </w:rPr>
        <w:t>01</w:t>
      </w:r>
      <w:r>
        <w:rPr>
          <w:rFonts w:hint="eastAsia" w:ascii="仿宋_GB2312" w:hAnsi="宋体" w:eastAsia="仿宋_GB2312" w:cs="仿宋_GB2312"/>
          <w:b/>
          <w:bCs/>
          <w:color w:val="000000" w:themeColor="text1"/>
          <w:sz w:val="32"/>
          <w:szCs w:val="32"/>
          <w:highlight w:val="yellow"/>
          <w14:textFill>
            <w14:solidFill>
              <w14:schemeClr w14:val="tx1"/>
            </w14:solidFill>
          </w14:textFill>
        </w:rPr>
        <w:t>表中收入栏六项均有数据，则可给出以下名词解释</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一、财政拨款收入：</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二、上级补助收入：</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三、事业收入：</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四、经营收入：</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五、附属单位上缴收入：</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六、其他收入</w:t>
      </w:r>
    </w:p>
    <w:p>
      <w:pPr>
        <w:kinsoku w:val="0"/>
        <w:overflowPunct w:val="0"/>
        <w:autoSpaceDE w:val="0"/>
        <w:autoSpaceDN w:val="0"/>
        <w:adjustRightInd w:val="0"/>
        <w:snapToGrid w:val="0"/>
        <w:spacing w:line="360" w:lineRule="auto"/>
        <w:ind w:firstLine="643" w:firstLineChars="200"/>
        <w:jc w:val="left"/>
        <w:rPr>
          <w:rFonts w:ascii="仿宋_GB2312" w:hAnsi="宋体" w:eastAsia="仿宋_GB2312" w:cs="Times New Roman"/>
          <w:color w:val="000000" w:themeColor="text1"/>
          <w:sz w:val="32"/>
          <w:szCs w:val="32"/>
          <w:highlight w:val="yellow"/>
          <w14:textFill>
            <w14:solidFill>
              <w14:schemeClr w14:val="tx1"/>
            </w14:solidFill>
          </w14:textFill>
        </w:rPr>
      </w:pPr>
      <w:r>
        <w:rPr>
          <w:rFonts w:hint="eastAsia" w:ascii="仿宋_GB2312" w:hAnsi="宋体" w:eastAsia="仿宋_GB2312" w:cs="仿宋_GB2312"/>
          <w:b/>
          <w:bCs/>
          <w:color w:val="000000" w:themeColor="text1"/>
          <w:sz w:val="32"/>
          <w:szCs w:val="32"/>
          <w:highlight w:val="yellow"/>
          <w14:textFill>
            <w14:solidFill>
              <w14:schemeClr w14:val="tx1"/>
            </w14:solidFill>
          </w14:textFill>
        </w:rPr>
        <w:t>七、用事业基金弥补收支差额：</w:t>
      </w:r>
      <w:r>
        <w:rPr>
          <w:rFonts w:hint="eastAsia" w:ascii="仿宋_GB2312" w:hAnsi="宋体" w:eastAsia="仿宋_GB2312" w:cs="仿宋_GB2312"/>
          <w:color w:val="000000" w:themeColor="text1"/>
          <w:sz w:val="32"/>
          <w:szCs w:val="32"/>
          <w:highlight w:val="yellow"/>
          <w14:textFill>
            <w14:solidFill>
              <w14:schemeClr w14:val="tx1"/>
            </w14:solidFill>
          </w14:textFill>
        </w:rPr>
        <w:t>指事业单位在当年的“财政拨款收入”、“上级补助收入”、“事业收入”、“经营收入”、“附属单位上缴收入”和“其他收入”不足以安排当年支出的情况下，使用以前年度积累的事业基金（事业单位当年收支相抵后按国家规定提取、用于弥补以后年度收支差额的基金）弥补当年收支缺口的资金。</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b/>
          <w:bCs/>
          <w:color w:val="000000" w:themeColor="text1"/>
          <w:sz w:val="32"/>
          <w:szCs w:val="32"/>
          <w:highlight w:val="yellow"/>
          <w14:textFill>
            <w14:solidFill>
              <w14:schemeClr w14:val="tx1"/>
            </w14:solidFill>
          </w14:textFill>
        </w:rPr>
      </w:pPr>
      <w:r>
        <w:rPr>
          <w:rFonts w:hint="eastAsia" w:ascii="仿宋_GB2312" w:hAnsi="宋体" w:eastAsia="仿宋_GB2312" w:cs="仿宋_GB2312"/>
          <w:color w:val="000000" w:themeColor="text1"/>
          <w:sz w:val="32"/>
          <w:szCs w:val="32"/>
          <w:highlight w:val="yellow"/>
          <w14:textFill>
            <w14:solidFill>
              <w14:schemeClr w14:val="tx1"/>
            </w14:solidFill>
          </w14:textFill>
        </w:rPr>
        <w:t>……</w:t>
      </w:r>
      <w:r>
        <w:rPr>
          <w:rFonts w:hint="eastAsia" w:ascii="仿宋_GB2312" w:hAnsi="宋体" w:eastAsia="仿宋_GB2312" w:cs="仿宋_GB2312"/>
          <w:b/>
          <w:bCs/>
          <w:color w:val="000000" w:themeColor="text1"/>
          <w:sz w:val="32"/>
          <w:szCs w:val="32"/>
          <w:highlight w:val="yellow"/>
          <w14:textFill>
            <w14:solidFill>
              <w14:schemeClr w14:val="tx1"/>
            </w14:solidFill>
          </w14:textFill>
        </w:rPr>
        <w:t>）</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b/>
          <w:bCs/>
          <w:color w:val="000000" w:themeColor="text1"/>
          <w:sz w:val="32"/>
          <w:szCs w:val="32"/>
          <w14:textFill>
            <w14:solidFill>
              <w14:schemeClr w14:val="tx1"/>
            </w14:solidFill>
          </w14:textFill>
        </w:rPr>
      </w:pP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一、财政拨款收入：</w:t>
      </w:r>
      <w:r>
        <w:rPr>
          <w:rFonts w:hint="eastAsia" w:ascii="仿宋_GB2312" w:hAnsi="宋体" w:eastAsia="仿宋_GB2312" w:cs="仿宋_GB2312"/>
          <w:color w:val="000000" w:themeColor="text1"/>
          <w:sz w:val="32"/>
          <w:szCs w:val="32"/>
          <w14:textFill>
            <w14:solidFill>
              <w14:schemeClr w14:val="tx1"/>
            </w14:solidFill>
          </w14:textFill>
        </w:rPr>
        <w:t>指市级财政当年拨付的资金。</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二、事业收入：</w:t>
      </w:r>
      <w:r>
        <w:rPr>
          <w:rFonts w:hint="eastAsia" w:ascii="仿宋_GB2312" w:hAnsi="宋体" w:eastAsia="仿宋_GB2312" w:cs="仿宋_GB2312"/>
          <w:color w:val="000000" w:themeColor="text1"/>
          <w:sz w:val="32"/>
          <w:szCs w:val="32"/>
          <w14:textFill>
            <w14:solidFill>
              <w14:schemeClr w14:val="tx1"/>
            </w14:solidFill>
          </w14:textFill>
        </w:rPr>
        <w:t>指事业单位开展专业业务活动及辅助活动所取得的收入。</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三、其他收入：</w:t>
      </w:r>
      <w:r>
        <w:rPr>
          <w:rFonts w:hint="eastAsia" w:ascii="仿宋_GB2312" w:hAnsi="宋体" w:eastAsia="仿宋_GB2312" w:cs="仿宋_GB2312"/>
          <w:color w:val="000000" w:themeColor="text1"/>
          <w:sz w:val="32"/>
          <w:szCs w:val="32"/>
          <w14:textFill>
            <w14:solidFill>
              <w14:schemeClr w14:val="tx1"/>
            </w14:solidFill>
          </w14:textFill>
        </w:rPr>
        <w:t>指本部门取得的除“财政拨款收入”、“事业收入”、“经营收入”等以外的收入。</w:t>
      </w:r>
    </w:p>
    <w:p>
      <w:pPr>
        <w:kinsoku w:val="0"/>
        <w:overflowPunct w:val="0"/>
        <w:autoSpaceDE w:val="0"/>
        <w:autoSpaceDN w:val="0"/>
        <w:adjustRightInd w:val="0"/>
        <w:snapToGrid w:val="0"/>
        <w:spacing w:line="360" w:lineRule="auto"/>
        <w:ind w:firstLine="643" w:firstLineChars="200"/>
        <w:jc w:val="left"/>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四、用事业基金弥补收支差额：</w:t>
      </w:r>
      <w:r>
        <w:rPr>
          <w:rFonts w:hint="eastAsia" w:ascii="仿宋_GB2312" w:hAnsi="宋体" w:eastAsia="仿宋_GB2312" w:cs="仿宋_GB2312"/>
          <w:color w:val="000000" w:themeColor="text1"/>
          <w:sz w:val="32"/>
          <w:szCs w:val="32"/>
          <w:highlight w:val="yellow"/>
          <w14:textFill>
            <w14:solidFill>
              <w14:schemeClr w14:val="tx1"/>
            </w14:solidFill>
          </w14:textFill>
        </w:rPr>
        <w:t>指事业单位在当年的“财政拨款收入”、“事业收入”和“其他收入”</w:t>
      </w:r>
      <w:r>
        <w:rPr>
          <w:rFonts w:hint="eastAsia" w:ascii="仿宋_GB2312" w:hAnsi="宋体" w:eastAsia="仿宋_GB2312" w:cs="仿宋_GB2312"/>
          <w:color w:val="000000" w:themeColor="text1"/>
          <w:sz w:val="32"/>
          <w:szCs w:val="32"/>
          <w14:textFill>
            <w14:solidFill>
              <w14:schemeClr w14:val="tx1"/>
            </w14:solidFill>
          </w14:textFill>
        </w:rPr>
        <w:t>不足以安排当年支出的情况下，使用以前年度积累的事业基金（事业单位当年收支相抵后按国家规定提取、用于弥补以后年度收支差额的基金）弥补当年收支缺口的资金。</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五、年末结转和结余：</w:t>
      </w:r>
      <w:r>
        <w:rPr>
          <w:rFonts w:hint="eastAsia" w:ascii="仿宋_GB2312" w:hAnsi="宋体" w:eastAsia="仿宋_GB2312" w:cs="仿宋_GB2312"/>
          <w:color w:val="000000" w:themeColor="text1"/>
          <w:sz w:val="32"/>
          <w:szCs w:val="32"/>
          <w14:textFill>
            <w14:solidFill>
              <w14:schemeClr w14:val="tx1"/>
            </w14:solidFill>
          </w14:textFill>
        </w:rPr>
        <w:t>指本年度或以前年度预算安排、因客观条件发生变化无法按原计划实施，需延迟到以后年度按有关规定继续使用的资金。</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六、基本支出：</w:t>
      </w:r>
      <w:r>
        <w:rPr>
          <w:rFonts w:hint="eastAsia" w:ascii="仿宋_GB2312" w:hAnsi="宋体" w:eastAsia="仿宋_GB2312" w:cs="仿宋_GB2312"/>
          <w:color w:val="000000" w:themeColor="text1"/>
          <w:sz w:val="32"/>
          <w:szCs w:val="32"/>
          <w14:textFill>
            <w14:solidFill>
              <w14:schemeClr w14:val="tx1"/>
            </w14:solidFill>
          </w14:textFill>
        </w:rPr>
        <w:t>指为保障机构正常运转、完成日常工作任务而发生的人员支出和公用支出。</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七、项目支出：</w:t>
      </w:r>
      <w:r>
        <w:rPr>
          <w:rFonts w:hint="eastAsia" w:ascii="仿宋_GB2312" w:hAnsi="宋体" w:eastAsia="仿宋_GB2312" w:cs="仿宋_GB2312"/>
          <w:color w:val="000000" w:themeColor="text1"/>
          <w:sz w:val="32"/>
          <w:szCs w:val="32"/>
          <w14:textFill>
            <w14:solidFill>
              <w14:schemeClr w14:val="tx1"/>
            </w14:solidFill>
          </w14:textFill>
        </w:rPr>
        <w:t>指在基本支出之外为完成特定行政任务和事业发展目标所发生的支出</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八、</w:t>
      </w:r>
      <w:r>
        <w:rPr>
          <w:rFonts w:hint="eastAsia" w:ascii="仿宋_GB2312" w:hAnsi="仿宋_GB2312" w:eastAsia="仿宋_GB2312" w:cs="仿宋_GB2312"/>
          <w:b/>
          <w:bCs/>
          <w:color w:val="000000" w:themeColor="text1"/>
          <w:sz w:val="32"/>
          <w:szCs w:val="32"/>
          <w14:textFill>
            <w14:solidFill>
              <w14:schemeClr w14:val="tx1"/>
            </w14:solidFill>
          </w14:textFill>
        </w:rPr>
        <w:t>外交（类）国际组织（款）国际组织会费（项）</w:t>
      </w: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（根据本单位公开</w:t>
      </w:r>
      <w:r>
        <w:rPr>
          <w:rFonts w:ascii="仿宋_GB2312" w:hAnsi="仿宋_GB2312" w:eastAsia="仿宋_GB2312" w:cs="仿宋_GB2312"/>
          <w:b/>
          <w:bCs/>
          <w:color w:val="000000" w:themeColor="text1"/>
          <w:sz w:val="32"/>
          <w:szCs w:val="32"/>
          <w:highlight w:val="yellow"/>
          <w14:textFill>
            <w14:solidFill>
              <w14:schemeClr w14:val="tx1"/>
            </w14:solidFill>
          </w14:textFill>
        </w:rPr>
        <w:t>03</w:t>
      </w: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表填写）</w:t>
      </w:r>
      <w:r>
        <w:rPr>
          <w:rFonts w:hint="eastAsia" w:ascii="仿宋_GB2312" w:hAnsi="仿宋_GB2312" w:eastAsia="仿宋_GB2312" w:cs="仿宋_GB2312"/>
          <w:b/>
          <w:bCs/>
          <w:color w:val="000000" w:themeColor="text1"/>
          <w:sz w:val="32"/>
          <w:szCs w:val="32"/>
          <w14:textFill>
            <w14:solidFill>
              <w14:schemeClr w14:val="tx1"/>
            </w14:solidFill>
          </w14:textFill>
        </w:rPr>
        <w:t>：</w:t>
      </w:r>
      <w:r>
        <w:rPr>
          <w:rFonts w:hint="eastAsia" w:ascii="仿宋_GB2312" w:hAnsi="宋体" w:eastAsia="仿宋_GB2312" w:cs="仿宋_GB2312"/>
          <w:color w:val="000000" w:themeColor="text1"/>
          <w:sz w:val="32"/>
          <w:szCs w:val="32"/>
          <w14:textFill>
            <w14:solidFill>
              <w14:schemeClr w14:val="tx1"/>
            </w14:solidFill>
          </w14:textFill>
        </w:rPr>
        <w:t>……。</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九、外交（类）国际组织（款）国际组织捐赠（项）</w:t>
      </w: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（根据本单位公开</w:t>
      </w:r>
      <w:r>
        <w:rPr>
          <w:rFonts w:ascii="仿宋_GB2312" w:hAnsi="仿宋_GB2312" w:eastAsia="仿宋_GB2312" w:cs="仿宋_GB2312"/>
          <w:b/>
          <w:bCs/>
          <w:color w:val="000000" w:themeColor="text1"/>
          <w:sz w:val="32"/>
          <w:szCs w:val="32"/>
          <w:highlight w:val="yellow"/>
          <w14:textFill>
            <w14:solidFill>
              <w14:schemeClr w14:val="tx1"/>
            </w14:solidFill>
          </w14:textFill>
        </w:rPr>
        <w:t>03</w:t>
      </w: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表填写）</w:t>
      </w:r>
      <w:r>
        <w:rPr>
          <w:rFonts w:hint="eastAsia" w:ascii="仿宋_GB2312" w:hAnsi="宋体" w:eastAsia="仿宋_GB2312" w:cs="仿宋_GB2312"/>
          <w:color w:val="000000" w:themeColor="text1"/>
          <w:sz w:val="32"/>
          <w:szCs w:val="32"/>
          <w14:textFill>
            <w14:solidFill>
              <w14:schemeClr w14:val="tx1"/>
            </w14:solidFill>
          </w14:textFill>
        </w:rPr>
        <w:t>：……。</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仿宋_GB2312"/>
          <w:b/>
          <w:bCs/>
          <w:color w:val="000000" w:themeColor="text1"/>
          <w:sz w:val="32"/>
          <w:szCs w:val="32"/>
          <w14:textFill>
            <w14:solidFill>
              <w14:schemeClr w14:val="tx1"/>
            </w14:solidFill>
          </w14:textFill>
        </w:rPr>
        <w:t>十、外交（类）国际组织（款）国际组织股金及基金（项）</w:t>
      </w: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（根据本单位公开</w:t>
      </w:r>
      <w:r>
        <w:rPr>
          <w:rFonts w:ascii="仿宋_GB2312" w:hAnsi="仿宋_GB2312" w:eastAsia="仿宋_GB2312" w:cs="仿宋_GB2312"/>
          <w:b/>
          <w:bCs/>
          <w:color w:val="000000" w:themeColor="text1"/>
          <w:sz w:val="32"/>
          <w:szCs w:val="32"/>
          <w:highlight w:val="yellow"/>
          <w14:textFill>
            <w14:solidFill>
              <w14:schemeClr w14:val="tx1"/>
            </w14:solidFill>
          </w14:textFill>
        </w:rPr>
        <w:t>03</w:t>
      </w: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表填写）</w:t>
      </w:r>
      <w:r>
        <w:rPr>
          <w:rFonts w:hint="eastAsia" w:ascii="仿宋_GB2312" w:hAnsi="宋体" w:eastAsia="仿宋_GB2312" w:cs="仿宋_GB2312"/>
          <w:color w:val="000000" w:themeColor="text1"/>
          <w:sz w:val="32"/>
          <w:szCs w:val="32"/>
          <w14:textFill>
            <w14:solidFill>
              <w14:schemeClr w14:val="tx1"/>
            </w14:solidFill>
          </w14:textFill>
        </w:rPr>
        <w:t>：……。</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color w:val="000000" w:themeColor="text1"/>
          <w:sz w:val="32"/>
          <w:szCs w:val="32"/>
          <w14:textFill>
            <w14:solidFill>
              <w14:schemeClr w14:val="tx1"/>
            </w14:solidFill>
          </w14:textFill>
        </w:rPr>
      </w:pP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3" w:firstLineChars="200"/>
        <w:jc w:val="left"/>
        <w:rPr>
          <w:rFonts w:ascii="仿宋_GB2312" w:hAnsi="宋体" w:eastAsia="仿宋_GB2312" w:cs="Times New Roman"/>
          <w:sz w:val="32"/>
          <w:szCs w:val="32"/>
        </w:rPr>
      </w:pPr>
      <w:r>
        <w:rPr>
          <w:rFonts w:hint="eastAsia" w:ascii="仿宋_GB2312" w:hAnsi="宋体" w:eastAsia="仿宋_GB2312" w:cs="仿宋_GB2312"/>
          <w:b/>
          <w:bCs/>
          <w:sz w:val="32"/>
          <w:szCs w:val="32"/>
        </w:rPr>
        <w:t>九十、“三公”经费：</w:t>
      </w:r>
      <w:r>
        <w:rPr>
          <w:rFonts w:hint="eastAsia" w:ascii="仿宋_GB2312" w:hAnsi="宋体" w:eastAsia="仿宋_GB2312" w:cs="仿宋_GB2312"/>
          <w:sz w:val="32"/>
          <w:szCs w:val="32"/>
        </w:rPr>
        <w:t>纳入市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kinsoku w:val="0"/>
        <w:overflowPunct w:val="0"/>
        <w:autoSpaceDE w:val="0"/>
        <w:autoSpaceDN w:val="0"/>
        <w:adjustRightInd w:val="0"/>
        <w:snapToGrid w:val="0"/>
        <w:spacing w:line="360" w:lineRule="auto"/>
        <w:ind w:firstLine="643" w:firstLineChars="200"/>
        <w:rPr>
          <w:rFonts w:ascii="仿宋_GB2312" w:hAnsi="宋体" w:eastAsia="仿宋_GB2312" w:cs="Times New Roman"/>
          <w:sz w:val="32"/>
          <w:szCs w:val="32"/>
        </w:rPr>
      </w:pPr>
      <w:r>
        <w:rPr>
          <w:rFonts w:hint="eastAsia" w:ascii="仿宋_GB2312" w:hAnsi="宋体" w:eastAsia="仿宋_GB2312" w:cs="仿宋_GB2312"/>
          <w:b/>
          <w:bCs/>
          <w:sz w:val="32"/>
          <w:szCs w:val="32"/>
        </w:rPr>
        <w:t>九十一、机关运行经费：</w:t>
      </w:r>
      <w:r>
        <w:rPr>
          <w:rFonts w:hint="eastAsia" w:ascii="仿宋_GB2312" w:hAnsi="宋体" w:eastAsia="仿宋_GB2312" w:cs="仿宋_GB2312"/>
          <w:sz w:val="32"/>
          <w:szCs w:val="32"/>
        </w:rPr>
        <w:t>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p>
    <w:p>
      <w:pPr>
        <w:kinsoku w:val="0"/>
        <w:overflowPunct w:val="0"/>
        <w:autoSpaceDE w:val="0"/>
        <w:autoSpaceDN w:val="0"/>
        <w:adjustRightInd w:val="0"/>
        <w:snapToGrid w:val="0"/>
        <w:spacing w:line="360" w:lineRule="auto"/>
        <w:rPr>
          <w:rFonts w:ascii="仿宋_GB2312" w:hAnsi="宋体" w:eastAsia="仿宋_GB2312" w:cs="Times New Roman"/>
          <w:sz w:val="52"/>
          <w:szCs w:val="52"/>
          <w:highlight w:val="yellow"/>
        </w:rPr>
      </w:pPr>
      <w:r>
        <w:rPr>
          <w:rFonts w:hint="eastAsia" w:ascii="仿宋_GB2312" w:hAnsi="宋体" w:eastAsia="仿宋_GB2312" w:cs="仿宋_GB2312"/>
          <w:b/>
          <w:bCs/>
          <w:sz w:val="52"/>
          <w:szCs w:val="52"/>
          <w:highlight w:val="yellow"/>
        </w:rPr>
        <w:t>保存为</w:t>
      </w:r>
      <w:r>
        <w:rPr>
          <w:rFonts w:ascii="仿宋_GB2312" w:hAnsi="宋体" w:eastAsia="仿宋_GB2312" w:cs="仿宋_GB2312"/>
          <w:b/>
          <w:bCs/>
          <w:sz w:val="52"/>
          <w:szCs w:val="52"/>
          <w:highlight w:val="yellow"/>
        </w:rPr>
        <w:t>PDF</w:t>
      </w:r>
      <w:r>
        <w:rPr>
          <w:rFonts w:hint="eastAsia" w:ascii="仿宋_GB2312" w:hAnsi="宋体" w:eastAsia="仿宋_GB2312" w:cs="仿宋_GB2312"/>
          <w:b/>
          <w:bCs/>
          <w:sz w:val="52"/>
          <w:szCs w:val="52"/>
          <w:highlight w:val="yellow"/>
        </w:rPr>
        <w:t>版本的方法：</w:t>
      </w:r>
      <w:r>
        <w:rPr>
          <w:rFonts w:hint="eastAsia" w:ascii="仿宋_GB2312" w:hAnsi="宋体" w:eastAsia="仿宋_GB2312" w:cs="仿宋_GB2312"/>
          <w:sz w:val="52"/>
          <w:szCs w:val="52"/>
          <w:highlight w:val="yellow"/>
        </w:rPr>
        <w:t>百度</w:t>
      </w:r>
      <w:r>
        <w:rPr>
          <w:rFonts w:ascii="仿宋_GB2312" w:hAnsi="宋体" w:eastAsia="仿宋_GB2312" w:cs="仿宋_GB2312"/>
          <w:sz w:val="52"/>
          <w:szCs w:val="52"/>
          <w:highlight w:val="yellow"/>
        </w:rPr>
        <w:t>wps</w:t>
      </w:r>
      <w:r>
        <w:rPr>
          <w:rFonts w:hint="eastAsia" w:ascii="仿宋_GB2312" w:hAnsi="宋体" w:eastAsia="仿宋_GB2312" w:cs="仿宋_GB2312"/>
          <w:sz w:val="52"/>
          <w:szCs w:val="52"/>
          <w:highlight w:val="yellow"/>
        </w:rPr>
        <w:t>、下载安装、打开</w:t>
      </w:r>
      <w:r>
        <w:rPr>
          <w:rFonts w:ascii="仿宋_GB2312" w:hAnsi="宋体" w:eastAsia="仿宋_GB2312" w:cs="仿宋_GB2312"/>
          <w:sz w:val="52"/>
          <w:szCs w:val="52"/>
          <w:highlight w:val="yellow"/>
        </w:rPr>
        <w:t>wps</w:t>
      </w:r>
      <w:r>
        <w:rPr>
          <w:rFonts w:hint="eastAsia" w:ascii="仿宋_GB2312" w:hAnsi="宋体" w:eastAsia="仿宋_GB2312" w:cs="仿宋_GB2312"/>
          <w:sz w:val="52"/>
          <w:szCs w:val="52"/>
          <w:highlight w:val="yellow"/>
        </w:rPr>
        <w:t>软件、单击左上角</w:t>
      </w:r>
      <w:r>
        <w:rPr>
          <w:rFonts w:ascii="仿宋_GB2312" w:hAnsi="宋体" w:eastAsia="仿宋_GB2312" w:cs="仿宋_GB2312"/>
          <w:sz w:val="52"/>
          <w:szCs w:val="52"/>
          <w:highlight w:val="yellow"/>
        </w:rPr>
        <w:t>wps</w:t>
      </w:r>
      <w:r>
        <w:rPr>
          <w:rFonts w:hint="eastAsia" w:ascii="仿宋_GB2312" w:hAnsi="宋体" w:eastAsia="仿宋_GB2312" w:cs="仿宋_GB2312"/>
          <w:sz w:val="52"/>
          <w:szCs w:val="52"/>
          <w:highlight w:val="yellow"/>
        </w:rPr>
        <w:t>文字</w:t>
      </w:r>
      <w:r>
        <w:rPr>
          <w:rFonts w:ascii="仿宋_GB2312" w:hAnsi="宋体" w:eastAsia="仿宋_GB2312" w:cs="仿宋_GB2312"/>
          <w:sz w:val="52"/>
          <w:szCs w:val="52"/>
          <w:highlight w:val="yellow"/>
        </w:rPr>
        <w:t>-</w:t>
      </w:r>
      <w:r>
        <w:rPr>
          <w:rFonts w:hint="eastAsia" w:ascii="仿宋_GB2312" w:hAnsi="宋体" w:eastAsia="仿宋_GB2312" w:cs="仿宋_GB2312"/>
          <w:sz w:val="52"/>
          <w:szCs w:val="52"/>
          <w:highlight w:val="yellow"/>
        </w:rPr>
        <w:t>另存为</w:t>
      </w:r>
      <w:r>
        <w:rPr>
          <w:rFonts w:ascii="仿宋_GB2312" w:hAnsi="宋体" w:eastAsia="仿宋_GB2312" w:cs="仿宋_GB2312"/>
          <w:sz w:val="52"/>
          <w:szCs w:val="52"/>
          <w:highlight w:val="yellow"/>
        </w:rPr>
        <w:t>-</w:t>
      </w:r>
      <w:r>
        <w:rPr>
          <w:rFonts w:hint="eastAsia" w:ascii="仿宋_GB2312" w:hAnsi="宋体" w:eastAsia="仿宋_GB2312" w:cs="仿宋_GB2312"/>
          <w:sz w:val="52"/>
          <w:szCs w:val="52"/>
          <w:highlight w:val="yellow"/>
        </w:rPr>
        <w:t>输出为</w:t>
      </w:r>
      <w:r>
        <w:rPr>
          <w:rFonts w:ascii="仿宋_GB2312" w:hAnsi="宋体" w:eastAsia="仿宋_GB2312" w:cs="仿宋_GB2312"/>
          <w:sz w:val="52"/>
          <w:szCs w:val="52"/>
          <w:highlight w:val="yellow"/>
        </w:rPr>
        <w:t>PDF</w:t>
      </w:r>
      <w:r>
        <w:rPr>
          <w:rFonts w:hint="eastAsia" w:ascii="仿宋_GB2312" w:hAnsi="宋体" w:eastAsia="仿宋_GB2312" w:cs="仿宋_GB2312"/>
          <w:sz w:val="52"/>
          <w:szCs w:val="52"/>
          <w:highlight w:val="yellow"/>
        </w:rPr>
        <w:t>格式。</w:t>
      </w:r>
    </w:p>
    <w:sectPr>
      <w:pgSz w:w="11906" w:h="16838"/>
      <w:pgMar w:top="1440" w:right="1531" w:bottom="1440" w:left="1587" w:header="850" w:footer="992" w:gutter="0"/>
      <w:pgNumType w:fmt="numberInDash"/>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方正小标宋简体">
    <w:altName w:val="微软雅黑"/>
    <w:panose1 w:val="02010601030101010101"/>
    <w:charset w:val="86"/>
    <w:family w:val="auto"/>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仿宋">
    <w:altName w:val="微软雅黑"/>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隶书">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rFonts w:cs="Times New Roman"/>
                              <w:sz w:val="18"/>
                              <w:szCs w:val="18"/>
                            </w:rPr>
                          </w:pPr>
                          <w:r>
                            <w:fldChar w:fldCharType="begin"/>
                          </w:r>
                          <w:r>
                            <w:instrText xml:space="preserve"> PAGE  \* MERGEFORMAT </w:instrText>
                          </w:r>
                          <w:r>
                            <w:fldChar w:fldCharType="separate"/>
                          </w:r>
                          <w:r>
                            <w:rPr>
                              <w:sz w:val="18"/>
                              <w:szCs w:val="18"/>
                            </w:rPr>
                            <w:t>- 26 -</w:t>
                          </w:r>
                          <w:r>
                            <w:rPr>
                              <w:sz w:val="18"/>
                              <w:szCs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oMK2AQAAVAMAAA4AAABkcnMvZTJvRG9jLnhtbK1TzY7TMBC+I/EO&#10;lu80aRGrKmq6Aq0WISFAWvYBXMduLPlPM26TvgC8AScu3HmuPgdjN+kiuCEuznhm/M1830w2t6Oz&#10;7KgATfAtXy5qzpSXoTN+3/LHz/cv1pxhEr4TNnjV8pNCfrt9/mwzxEatQh9sp4ARiMdmiC3vU4pN&#10;VaHslRO4CFF5CuoATiS6wr7qQAyE7my1quubagjQRQhSIZL37hLk24KvtZLpo9aoErMtp95SOaGc&#10;u3xW241o9iBib+TUhviHLpwwnopeoe5EEuwA5i8oZyQEDDotZHBV0NpIVTgQm2X9B5uHXkRVuJA4&#10;GK8y4f+DlR+On4CZjmbHmReORnT+9vX8/ef5xxe2zPIMERvKeoiUl8Y3Ycypkx/JmVmPGlz+Eh9G&#10;cRL6dBVXjYnJ/Gi9Wq9rCkmKzRfCqZ6eR8D0VgXHstFyoOkVUcXxPaZL6pySq/lwb6wlv2isZ0PL&#10;b16+qsuDa4TAracamcSl2WylcTdODHahOxGxgTag5Z5WlDP7zpPAeVlmA2ZjNxuHCGbfU4/LUg/j&#10;60OibkqTucIFdipMoys0pzXLu/H7vWQ9/Qz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NJWO7Q&#10;AAAABQEAAA8AAAAAAAAAAQAgAAAAIgAAAGRycy9kb3ducmV2LnhtbFBLAQIUABQAAAAIAIdO4kDI&#10;nqDCtgEAAFQDAAAOAAAAAAAAAAEAIAAAAB8BAABkcnMvZTJvRG9jLnhtbFBLBQYAAAAABgAGAFkB&#10;AABHBQAAAAA=&#10;">
              <v:fill on="f" focussize="0,0"/>
              <v:stroke on="f" weight="0.5pt"/>
              <v:imagedata o:title=""/>
              <o:lock v:ext="edit" aspectratio="f"/>
              <v:textbox inset="0mm,0mm,0mm,0mm" style="mso-fit-shape-to-text:t;">
                <w:txbxContent>
                  <w:p>
                    <w:pPr>
                      <w:snapToGrid w:val="0"/>
                      <w:rPr>
                        <w:rFonts w:cs="Times New Roman"/>
                        <w:sz w:val="18"/>
                        <w:szCs w:val="18"/>
                      </w:rPr>
                    </w:pPr>
                    <w:r>
                      <w:fldChar w:fldCharType="begin"/>
                    </w:r>
                    <w:r>
                      <w:instrText xml:space="preserve"> PAGE  \* MERGEFORMAT </w:instrText>
                    </w:r>
                    <w:r>
                      <w:fldChar w:fldCharType="separate"/>
                    </w:r>
                    <w:r>
                      <w:rPr>
                        <w:sz w:val="18"/>
                        <w:szCs w:val="18"/>
                      </w:rPr>
                      <w:t>- 26 -</w:t>
                    </w:r>
                    <w:r>
                      <w:rPr>
                        <w:sz w:val="18"/>
                        <w:szCs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lvl>
  </w:abstractNum>
  <w:abstractNum w:abstractNumId="1">
    <w:nsid w:val="5971BF59"/>
    <w:multiLevelType w:val="singleLevel"/>
    <w:tmpl w:val="5971BF59"/>
    <w:lvl w:ilvl="0" w:tentative="0">
      <w:start w:val="1"/>
      <w:numFmt w:val="chineseCounting"/>
      <w:suff w:val="nothing"/>
      <w:lvlText w:val="%1、"/>
      <w:lvlJc w:val="left"/>
      <w:pPr>
        <w:ind w:firstLine="420"/>
      </w:pPr>
      <w:rPr>
        <w:rFonts w:hint="eastAsia"/>
      </w:rPr>
    </w:lvl>
  </w:abstractNum>
  <w:abstractNum w:abstractNumId="2">
    <w:nsid w:val="5971C193"/>
    <w:multiLevelType w:val="singleLevel"/>
    <w:tmpl w:val="5971C193"/>
    <w:lvl w:ilvl="0" w:tentative="0">
      <w:start w:val="2"/>
      <w:numFmt w:val="chineseCounting"/>
      <w:suff w:val="nothing"/>
      <w:lvlText w:val="%1、"/>
      <w:lvlJc w:val="left"/>
    </w:lvl>
  </w:abstractNum>
  <w:abstractNum w:abstractNumId="3">
    <w:nsid w:val="5971DAC2"/>
    <w:multiLevelType w:val="singleLevel"/>
    <w:tmpl w:val="5971DAC2"/>
    <w:lvl w:ilvl="0" w:tentative="0">
      <w:start w:val="1"/>
      <w:numFmt w:val="chineseCounting"/>
      <w:suff w:val="nothing"/>
      <w:lvlText w:val="%1、"/>
      <w:lvlJc w:val="left"/>
      <w:pPr>
        <w:ind w:firstLine="420"/>
      </w:pPr>
      <w:rPr>
        <w:rFonts w:hint="eastAsia"/>
      </w:rPr>
    </w:lvl>
  </w:abstractNum>
  <w:abstractNum w:abstractNumId="4">
    <w:nsid w:val="5971DBDD"/>
    <w:multiLevelType w:val="singleLevel"/>
    <w:tmpl w:val="5971DBDD"/>
    <w:lvl w:ilvl="0" w:tentative="0">
      <w:start w:val="1"/>
      <w:numFmt w:val="chineseCounting"/>
      <w:suff w:val="nothing"/>
      <w:lvlText w:val="（%1）"/>
      <w:lvlJc w:val="left"/>
      <w:pPr>
        <w:ind w:firstLine="420"/>
      </w:pPr>
      <w:rPr>
        <w:rFonts w:hint="eastAsia"/>
      </w:rPr>
    </w:lvl>
  </w:abstractNum>
  <w:abstractNum w:abstractNumId="5">
    <w:nsid w:val="5971DD00"/>
    <w:multiLevelType w:val="singleLevel"/>
    <w:tmpl w:val="5971DD00"/>
    <w:lvl w:ilvl="0" w:tentative="0">
      <w:start w:val="1"/>
      <w:numFmt w:val="decimal"/>
      <w:suff w:val="nothing"/>
      <w:lvlText w:val="%1．"/>
      <w:lvlJc w:val="left"/>
      <w:pPr>
        <w:ind w:firstLine="400"/>
      </w:pPr>
      <w:rPr>
        <w:rFonts w:hint="default"/>
      </w:rPr>
    </w:lvl>
  </w:abstractNum>
  <w:abstractNum w:abstractNumId="6">
    <w:nsid w:val="5971E093"/>
    <w:multiLevelType w:val="singleLevel"/>
    <w:tmpl w:val="5971E093"/>
    <w:lvl w:ilvl="0" w:tentative="0">
      <w:start w:val="1"/>
      <w:numFmt w:val="chineseCounting"/>
      <w:suff w:val="nothing"/>
      <w:lvlText w:val="（%1）"/>
      <w:lvlJc w:val="left"/>
      <w:pPr>
        <w:ind w:firstLine="420"/>
      </w:pPr>
      <w:rPr>
        <w:rFonts w:hint="eastAsia"/>
      </w:rPr>
    </w:lvl>
  </w:abstractNum>
  <w:abstractNum w:abstractNumId="7">
    <w:nsid w:val="5971E2D2"/>
    <w:multiLevelType w:val="singleLevel"/>
    <w:tmpl w:val="5971E2D2"/>
    <w:lvl w:ilvl="0" w:tentative="0">
      <w:start w:val="1"/>
      <w:numFmt w:val="decimal"/>
      <w:suff w:val="nothing"/>
      <w:lvlText w:val="%1．"/>
      <w:lvlJc w:val="left"/>
      <w:pPr>
        <w:ind w:firstLine="400"/>
      </w:pPr>
      <w:rPr>
        <w:rFonts w:hint="default"/>
      </w:rPr>
    </w:lvl>
  </w:abstractNum>
  <w:abstractNum w:abstractNumId="8">
    <w:nsid w:val="5971E776"/>
    <w:multiLevelType w:val="singleLevel"/>
    <w:tmpl w:val="5971E776"/>
    <w:lvl w:ilvl="0" w:tentative="0">
      <w:start w:val="1"/>
      <w:numFmt w:val="chineseCounting"/>
      <w:suff w:val="nothing"/>
      <w:lvlText w:val="（%1）"/>
      <w:lvlJc w:val="left"/>
      <w:pPr>
        <w:ind w:firstLine="420"/>
      </w:pPr>
      <w:rPr>
        <w:rFonts w:hint="eastAsia"/>
      </w:rPr>
    </w:lvl>
  </w:abstractNum>
  <w:abstractNum w:abstractNumId="9">
    <w:nsid w:val="5971EDEF"/>
    <w:multiLevelType w:val="singleLevel"/>
    <w:tmpl w:val="5971EDEF"/>
    <w:lvl w:ilvl="0" w:tentative="0">
      <w:start w:val="1"/>
      <w:numFmt w:val="chineseCounting"/>
      <w:suff w:val="nothing"/>
      <w:lvlText w:val="（%1）"/>
      <w:lvlJc w:val="left"/>
      <w:pPr>
        <w:ind w:firstLine="420"/>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HorizontalSpacing w:val="210"/>
  <w:drawingGridVerticalSpacing w:val="159"/>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B5A03"/>
    <w:rsid w:val="001150B0"/>
    <w:rsid w:val="00172A27"/>
    <w:rsid w:val="002511EF"/>
    <w:rsid w:val="00271709"/>
    <w:rsid w:val="002929B4"/>
    <w:rsid w:val="0088481D"/>
    <w:rsid w:val="009108DE"/>
    <w:rsid w:val="00B458CF"/>
    <w:rsid w:val="00CD71F9"/>
    <w:rsid w:val="00DF7441"/>
    <w:rsid w:val="00E30287"/>
    <w:rsid w:val="022745F4"/>
    <w:rsid w:val="02B00150"/>
    <w:rsid w:val="041A1E80"/>
    <w:rsid w:val="04453648"/>
    <w:rsid w:val="05DB00B9"/>
    <w:rsid w:val="08621A77"/>
    <w:rsid w:val="09BB2134"/>
    <w:rsid w:val="0A577AFF"/>
    <w:rsid w:val="0CA434B9"/>
    <w:rsid w:val="0D2059AC"/>
    <w:rsid w:val="0E4C156E"/>
    <w:rsid w:val="10BD4691"/>
    <w:rsid w:val="11585E8B"/>
    <w:rsid w:val="129B556C"/>
    <w:rsid w:val="1385622C"/>
    <w:rsid w:val="15492582"/>
    <w:rsid w:val="158D30EC"/>
    <w:rsid w:val="168D1EFC"/>
    <w:rsid w:val="18F44D57"/>
    <w:rsid w:val="19B92238"/>
    <w:rsid w:val="1D415527"/>
    <w:rsid w:val="1E7D3B34"/>
    <w:rsid w:val="20272E46"/>
    <w:rsid w:val="22A51050"/>
    <w:rsid w:val="23346632"/>
    <w:rsid w:val="23C05A54"/>
    <w:rsid w:val="23C3364F"/>
    <w:rsid w:val="267C7038"/>
    <w:rsid w:val="283D43BA"/>
    <w:rsid w:val="29B70F08"/>
    <w:rsid w:val="29C85179"/>
    <w:rsid w:val="2A254105"/>
    <w:rsid w:val="2ACE3293"/>
    <w:rsid w:val="2BA4769A"/>
    <w:rsid w:val="2CD06EF4"/>
    <w:rsid w:val="2F335194"/>
    <w:rsid w:val="2FBC7DEE"/>
    <w:rsid w:val="30963758"/>
    <w:rsid w:val="31135934"/>
    <w:rsid w:val="32EF40CE"/>
    <w:rsid w:val="34435501"/>
    <w:rsid w:val="3449124D"/>
    <w:rsid w:val="34695F9B"/>
    <w:rsid w:val="34920D5F"/>
    <w:rsid w:val="34C402DD"/>
    <w:rsid w:val="35AB7798"/>
    <w:rsid w:val="372974AC"/>
    <w:rsid w:val="37515EC2"/>
    <w:rsid w:val="3949702E"/>
    <w:rsid w:val="39760E40"/>
    <w:rsid w:val="3BE408BA"/>
    <w:rsid w:val="3C3C2A00"/>
    <w:rsid w:val="3C7F703B"/>
    <w:rsid w:val="3C9D4B25"/>
    <w:rsid w:val="3D70189E"/>
    <w:rsid w:val="3E43706C"/>
    <w:rsid w:val="3F110655"/>
    <w:rsid w:val="42271DDB"/>
    <w:rsid w:val="43910C0D"/>
    <w:rsid w:val="43E15261"/>
    <w:rsid w:val="44FF4623"/>
    <w:rsid w:val="45F72E8D"/>
    <w:rsid w:val="46257032"/>
    <w:rsid w:val="48B52937"/>
    <w:rsid w:val="48EE3EF3"/>
    <w:rsid w:val="49E449EF"/>
    <w:rsid w:val="4B450CB0"/>
    <w:rsid w:val="4C1E2F28"/>
    <w:rsid w:val="4CFC29CC"/>
    <w:rsid w:val="4D6E1856"/>
    <w:rsid w:val="502C04C1"/>
    <w:rsid w:val="51DE24AB"/>
    <w:rsid w:val="53BA1ADE"/>
    <w:rsid w:val="53F232DA"/>
    <w:rsid w:val="54733E0B"/>
    <w:rsid w:val="5651051D"/>
    <w:rsid w:val="56EC004A"/>
    <w:rsid w:val="57E961A8"/>
    <w:rsid w:val="581E77CF"/>
    <w:rsid w:val="58B06254"/>
    <w:rsid w:val="59073BA9"/>
    <w:rsid w:val="59D567C7"/>
    <w:rsid w:val="5A0B492F"/>
    <w:rsid w:val="5AF25131"/>
    <w:rsid w:val="5BAA48AD"/>
    <w:rsid w:val="5BEA1742"/>
    <w:rsid w:val="5D144B98"/>
    <w:rsid w:val="5E5205C9"/>
    <w:rsid w:val="5FD95A69"/>
    <w:rsid w:val="600176AC"/>
    <w:rsid w:val="630C3B41"/>
    <w:rsid w:val="635B3125"/>
    <w:rsid w:val="65332BB8"/>
    <w:rsid w:val="664A46E0"/>
    <w:rsid w:val="66755D81"/>
    <w:rsid w:val="687545BD"/>
    <w:rsid w:val="68A121F7"/>
    <w:rsid w:val="68A9241E"/>
    <w:rsid w:val="6A023D20"/>
    <w:rsid w:val="6B6D695A"/>
    <w:rsid w:val="6FD41D7F"/>
    <w:rsid w:val="72416639"/>
    <w:rsid w:val="738C1FE2"/>
    <w:rsid w:val="75531EF6"/>
    <w:rsid w:val="75D0003D"/>
    <w:rsid w:val="764F7877"/>
    <w:rsid w:val="79142734"/>
    <w:rsid w:val="7AA141FF"/>
    <w:rsid w:val="7C445B57"/>
    <w:rsid w:val="7D4C6ACF"/>
    <w:rsid w:val="7D713C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character" w:customStyle="1" w:styleId="6">
    <w:name w:val="Footer Char"/>
    <w:basedOn w:val="4"/>
    <w:link w:val="2"/>
    <w:semiHidden/>
    <w:qFormat/>
    <w:uiPriority w:val="99"/>
    <w:rPr>
      <w:rFonts w:ascii="Calibri" w:hAnsi="Calibri" w:cs="Calibri"/>
      <w:sz w:val="18"/>
      <w:szCs w:val="18"/>
    </w:rPr>
  </w:style>
  <w:style w:type="character" w:customStyle="1" w:styleId="7">
    <w:name w:val="Header Char"/>
    <w:basedOn w:val="4"/>
    <w:link w:val="3"/>
    <w:semiHidden/>
    <w:qFormat/>
    <w:uiPriority w:val="99"/>
    <w:rPr>
      <w:rFonts w:ascii="Calibri" w:hAnsi="Calibri" w:cs="Calibri"/>
      <w:sz w:val="18"/>
      <w:szCs w:val="18"/>
    </w:rPr>
  </w:style>
  <w:style w:type="character" w:customStyle="1" w:styleId="8">
    <w:name w:val="font31"/>
    <w:basedOn w:val="4"/>
    <w:qFormat/>
    <w:uiPriority w:val="99"/>
    <w:rPr>
      <w:rFonts w:ascii="Arial" w:hAnsi="Arial" w:cs="Arial"/>
      <w:color w:val="000000"/>
      <w:sz w:val="16"/>
      <w:szCs w:val="16"/>
      <w:u w:val="none"/>
    </w:rPr>
  </w:style>
  <w:style w:type="character" w:customStyle="1" w:styleId="9">
    <w:name w:val="font01"/>
    <w:basedOn w:val="4"/>
    <w:qFormat/>
    <w:uiPriority w:val="99"/>
    <w:rPr>
      <w:rFonts w:ascii="Arial" w:hAnsi="Arial" w:cs="Arial"/>
      <w:color w:val="000000"/>
      <w:sz w:val="16"/>
      <w:szCs w:val="16"/>
      <w:u w:val="none"/>
    </w:rPr>
  </w:style>
  <w:style w:type="character" w:customStyle="1" w:styleId="10">
    <w:name w:val="font41"/>
    <w:basedOn w:val="4"/>
    <w:qFormat/>
    <w:uiPriority w:val="99"/>
    <w:rPr>
      <w:rFonts w:ascii="宋体" w:hAnsi="宋体" w:eastAsia="宋体" w:cs="宋体"/>
      <w:color w:val="000000"/>
      <w:sz w:val="16"/>
      <w:szCs w:val="16"/>
      <w:u w:val="none"/>
    </w:rPr>
  </w:style>
  <w:style w:type="paragraph" w:customStyle="1" w:styleId="11">
    <w:name w:val="p0"/>
    <w:basedOn w:val="1"/>
    <w:qFormat/>
    <w:uiPriority w:val="0"/>
    <w:pPr>
      <w:widowControl/>
      <w:ind w:firstLine="420"/>
      <w:jc w:val="left"/>
    </w:pPr>
    <w:rPr>
      <w:rFonts w:eastAsia="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28</Pages>
  <Words>1488</Words>
  <Characters>8483</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Administrator</cp:lastModifiedBy>
  <cp:lastPrinted>2017-07-25T02:47:00Z</cp:lastPrinted>
  <dcterms:modified xsi:type="dcterms:W3CDTF">2017-11-17T08:00:29Z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