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52"/>
          <w:szCs w:val="52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52"/>
          <w:szCs w:val="52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52"/>
          <w:szCs w:val="52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52"/>
          <w:szCs w:val="52"/>
          <w:lang w:eastAsia="zh-CN"/>
        </w:rPr>
      </w:pPr>
    </w:p>
    <w:p>
      <w:pPr>
        <w:jc w:val="both"/>
        <w:rPr>
          <w:rFonts w:ascii="黑体" w:hAnsi="黑体" w:eastAsia="黑体" w:cs="Times New Roman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  <w:lang w:eastAsia="zh-CN"/>
        </w:rPr>
        <w:t>焦作市中站区机构编制委员会办公室</w:t>
      </w:r>
    </w:p>
    <w:p>
      <w:pPr>
        <w:jc w:val="center"/>
        <w:rPr>
          <w:rFonts w:hint="eastAsia" w:ascii="隶书" w:hAnsi="隶书" w:eastAsia="隶书" w:cs="隶书"/>
          <w:sz w:val="52"/>
          <w:szCs w:val="52"/>
        </w:rPr>
      </w:pPr>
      <w:r>
        <w:rPr>
          <w:rFonts w:ascii="隶书" w:hAnsi="隶书" w:eastAsia="隶书" w:cs="隶书"/>
          <w:sz w:val="52"/>
          <w:szCs w:val="52"/>
        </w:rPr>
        <w:t>2016</w:t>
      </w:r>
      <w:r>
        <w:rPr>
          <w:rFonts w:hint="eastAsia" w:ascii="隶书" w:hAnsi="隶书" w:eastAsia="隶书" w:cs="隶书"/>
          <w:sz w:val="52"/>
          <w:szCs w:val="52"/>
        </w:rPr>
        <w:t>年度部门决算</w:t>
      </w:r>
    </w:p>
    <w:p>
      <w:pPr>
        <w:jc w:val="center"/>
        <w:rPr>
          <w:rFonts w:hint="eastAsia" w:ascii="隶书" w:hAnsi="隶书" w:eastAsia="隶书" w:cs="隶书"/>
          <w:sz w:val="52"/>
          <w:szCs w:val="52"/>
        </w:rPr>
      </w:pPr>
    </w:p>
    <w:p>
      <w:pPr>
        <w:jc w:val="center"/>
        <w:rPr>
          <w:rFonts w:hint="eastAsia" w:ascii="隶书" w:hAnsi="隶书" w:eastAsia="隶书" w:cs="隶书"/>
          <w:sz w:val="52"/>
          <w:szCs w:val="52"/>
        </w:rPr>
      </w:pPr>
    </w:p>
    <w:p>
      <w:pPr>
        <w:jc w:val="center"/>
        <w:rPr>
          <w:rFonts w:hint="eastAsia" w:ascii="隶书" w:hAnsi="隶书" w:eastAsia="隶书" w:cs="隶书"/>
          <w:sz w:val="52"/>
          <w:szCs w:val="52"/>
        </w:rPr>
      </w:pPr>
    </w:p>
    <w:p>
      <w:pPr>
        <w:jc w:val="center"/>
        <w:rPr>
          <w:rFonts w:hint="eastAsia" w:ascii="隶书" w:hAnsi="隶书" w:eastAsia="隶书" w:cs="隶书"/>
          <w:sz w:val="52"/>
          <w:szCs w:val="52"/>
        </w:rPr>
      </w:pPr>
    </w:p>
    <w:p>
      <w:pPr>
        <w:jc w:val="center"/>
        <w:rPr>
          <w:rFonts w:hint="eastAsia" w:ascii="隶书" w:hAnsi="隶书" w:eastAsia="隶书" w:cs="隶书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1790" w:firstLineChars="500"/>
        <w:jc w:val="both"/>
        <w:textAlignment w:val="auto"/>
        <w:outlineLvl w:val="9"/>
        <w:rPr>
          <w:rFonts w:hint="eastAsia" w:ascii="Times New Roman" w:hAnsi="Times New Roman" w:eastAsia="黑体" w:cs="Times New Roman"/>
          <w:spacing w:val="-1"/>
          <w:sz w:val="36"/>
          <w:szCs w:val="36"/>
          <w:u w:val="single"/>
          <w:lang w:eastAsia="zh-CN"/>
        </w:rPr>
      </w:pPr>
      <w:r>
        <w:rPr>
          <w:rFonts w:hint="eastAsia" w:ascii="Times New Roman" w:hAnsi="Times New Roman" w:eastAsia="黑体" w:cs="Times New Roman"/>
          <w:spacing w:val="-1"/>
          <w:sz w:val="36"/>
          <w:szCs w:val="36"/>
          <w:lang w:eastAsia="zh-CN"/>
        </w:rPr>
        <w:t>单位（盖章）：</w:t>
      </w:r>
      <w:r>
        <w:rPr>
          <w:rFonts w:hint="eastAsia" w:ascii="Times New Roman" w:hAnsi="Times New Roman" w:eastAsia="黑体" w:cs="Times New Roman"/>
          <w:spacing w:val="-1"/>
          <w:sz w:val="36"/>
          <w:szCs w:val="36"/>
          <w:u w:val="single"/>
          <w:lang w:eastAsia="zh-CN"/>
        </w:rPr>
        <w:t>中站区机构编制委员会办公室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黑体" w:cs="Times New Roman"/>
          <w:spacing w:val="-1"/>
          <w:sz w:val="36"/>
          <w:szCs w:val="36"/>
          <w:u w:val="single"/>
          <w:lang w:eastAsia="zh-CN"/>
        </w:rPr>
      </w:pPr>
      <w:r>
        <w:rPr>
          <w:rFonts w:hint="eastAsia" w:ascii="Times New Roman" w:hAnsi="Times New Roman" w:eastAsia="黑体" w:cs="Times New Roman"/>
          <w:spacing w:val="-1"/>
          <w:sz w:val="36"/>
          <w:szCs w:val="36"/>
          <w:lang w:eastAsia="zh-CN"/>
        </w:rPr>
        <w:t>　　　　　领导签字：</w:t>
      </w:r>
      <w:r>
        <w:rPr>
          <w:rFonts w:hint="eastAsia" w:ascii="Times New Roman" w:hAnsi="Times New Roman" w:eastAsia="黑体" w:cs="Times New Roman"/>
          <w:spacing w:val="-1"/>
          <w:sz w:val="36"/>
          <w:szCs w:val="36"/>
          <w:u w:val="single"/>
          <w:lang w:eastAsia="zh-CN"/>
        </w:rPr>
        <w:t>　　　　</w:t>
      </w:r>
      <w:r>
        <w:rPr>
          <w:rFonts w:hint="eastAsia" w:ascii="Times New Roman" w:hAnsi="Times New Roman" w:eastAsia="黑体" w:cs="Times New Roman"/>
          <w:spacing w:val="-1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黑体" w:cs="Times New Roman"/>
          <w:spacing w:val="-1"/>
          <w:sz w:val="36"/>
          <w:szCs w:val="36"/>
          <w:u w:val="single"/>
          <w:lang w:eastAsia="zh-CN"/>
        </w:rPr>
        <w:t>　　　　　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1790" w:firstLineChars="500"/>
        <w:jc w:val="both"/>
        <w:textAlignment w:val="auto"/>
        <w:outlineLvl w:val="9"/>
        <w:rPr>
          <w:rFonts w:hint="eastAsia" w:ascii="隶书" w:hAnsi="隶书" w:eastAsia="隶书" w:cs="隶书"/>
          <w:sz w:val="52"/>
          <w:szCs w:val="52"/>
        </w:rPr>
        <w:sectPr>
          <w:pgSz w:w="11906" w:h="16838"/>
          <w:pgMar w:top="1440" w:right="1531" w:bottom="1440" w:left="1587" w:header="850" w:footer="992" w:gutter="0"/>
          <w:pgNumType w:fmt="numberInDash" w:start="1"/>
          <w:cols w:space="0" w:num="1"/>
          <w:docGrid w:type="lines" w:linePitch="317" w:charSpace="0"/>
        </w:sectPr>
      </w:pPr>
      <w:r>
        <w:rPr>
          <w:rFonts w:hint="eastAsia" w:ascii="Times New Roman" w:hAnsi="Times New Roman" w:eastAsia="黑体" w:cs="Times New Roman"/>
          <w:spacing w:val="-1"/>
          <w:sz w:val="36"/>
          <w:szCs w:val="36"/>
          <w:lang w:eastAsia="zh-CN"/>
        </w:rPr>
        <w:t>日</w:t>
      </w:r>
      <w:r>
        <w:rPr>
          <w:rFonts w:hint="eastAsia" w:ascii="Times New Roman" w:hAnsi="Times New Roman" w:eastAsia="黑体" w:cs="Times New Roman"/>
          <w:spacing w:val="-1"/>
          <w:sz w:val="36"/>
          <w:szCs w:val="36"/>
          <w:lang w:val="en-US" w:eastAsia="zh-CN"/>
        </w:rPr>
        <w:t xml:space="preserve">    </w:t>
      </w:r>
      <w:r>
        <w:rPr>
          <w:rFonts w:hint="eastAsia" w:ascii="Times New Roman" w:hAnsi="Times New Roman" w:eastAsia="黑体" w:cs="Times New Roman"/>
          <w:spacing w:val="-1"/>
          <w:sz w:val="36"/>
          <w:szCs w:val="36"/>
          <w:lang w:eastAsia="zh-CN"/>
        </w:rPr>
        <w:t>期：</w:t>
      </w:r>
      <w:r>
        <w:rPr>
          <w:rFonts w:hint="eastAsia" w:ascii="Times New Roman" w:hAnsi="Times New Roman" w:eastAsia="黑体" w:cs="Times New Roman"/>
          <w:spacing w:val="-1"/>
          <w:sz w:val="36"/>
          <w:szCs w:val="36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黑体" w:cs="Times New Roman"/>
          <w:spacing w:val="-1"/>
          <w:sz w:val="36"/>
          <w:szCs w:val="36"/>
          <w:u w:val="single"/>
          <w:lang w:val="en-US" w:eastAsia="zh-CN"/>
        </w:rPr>
        <w:t>201</w:t>
      </w:r>
      <w:r>
        <w:rPr>
          <w:rFonts w:hint="eastAsia" w:ascii="Times New Roman" w:hAnsi="Times New Roman" w:eastAsia="黑体" w:cs="Times New Roman"/>
          <w:spacing w:val="-1"/>
          <w:sz w:val="36"/>
          <w:szCs w:val="36"/>
          <w:u w:val="single"/>
          <w:lang w:val="en-US" w:eastAsia="zh-CN"/>
        </w:rPr>
        <w:t>7</w:t>
      </w:r>
      <w:r>
        <w:rPr>
          <w:rFonts w:hint="default" w:ascii="Times New Roman" w:hAnsi="Times New Roman" w:eastAsia="黑体" w:cs="Times New Roman"/>
          <w:spacing w:val="-1"/>
          <w:sz w:val="36"/>
          <w:szCs w:val="36"/>
          <w:u w:val="single"/>
          <w:lang w:val="en-US" w:eastAsia="zh-CN"/>
        </w:rPr>
        <w:t>年</w:t>
      </w:r>
      <w:r>
        <w:rPr>
          <w:rFonts w:hint="eastAsia" w:ascii="Times New Roman" w:hAnsi="Times New Roman" w:eastAsia="黑体" w:cs="Times New Roman"/>
          <w:spacing w:val="-1"/>
          <w:sz w:val="36"/>
          <w:szCs w:val="36"/>
          <w:u w:val="single"/>
          <w:lang w:val="en-US" w:eastAsia="zh-CN"/>
        </w:rPr>
        <w:t>10</w:t>
      </w:r>
      <w:r>
        <w:rPr>
          <w:rFonts w:hint="default" w:ascii="Times New Roman" w:hAnsi="Times New Roman" w:eastAsia="黑体" w:cs="Times New Roman"/>
          <w:spacing w:val="-1"/>
          <w:sz w:val="36"/>
          <w:szCs w:val="36"/>
          <w:u w:val="single"/>
          <w:lang w:val="en-US" w:eastAsia="zh-CN"/>
        </w:rPr>
        <w:t>月</w:t>
      </w:r>
      <w:r>
        <w:rPr>
          <w:rFonts w:hint="eastAsia" w:ascii="Times New Roman" w:hAnsi="Times New Roman" w:eastAsia="黑体" w:cs="Times New Roman"/>
          <w:spacing w:val="-1"/>
          <w:sz w:val="36"/>
          <w:szCs w:val="36"/>
          <w:u w:val="single"/>
          <w:lang w:val="en-US" w:eastAsia="zh-CN"/>
        </w:rPr>
        <w:t xml:space="preserve">   </w:t>
      </w:r>
    </w:p>
    <w:p>
      <w:pPr>
        <w:jc w:val="center"/>
        <w:rPr>
          <w:rFonts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目　　录</w:t>
      </w:r>
    </w:p>
    <w:p>
      <w:pPr>
        <w:jc w:val="left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中站区机构编制委员会办公室</w:t>
      </w:r>
      <w:r>
        <w:rPr>
          <w:rFonts w:hint="eastAsia" w:ascii="黑体" w:hAnsi="黑体" w:eastAsia="黑体" w:cs="黑体"/>
          <w:sz w:val="32"/>
          <w:szCs w:val="32"/>
        </w:rPr>
        <w:t>概况</w:t>
      </w:r>
    </w:p>
    <w:p>
      <w:pPr>
        <w:numPr>
          <w:ilvl w:val="0"/>
          <w:numId w:val="1"/>
        </w:numPr>
        <w:jc w:val="left"/>
        <w:rPr>
          <w:rFonts w:ascii="宋体" w:cs="Times New Roman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主要职责</w:t>
      </w:r>
    </w:p>
    <w:p>
      <w:pPr>
        <w:numPr>
          <w:ilvl w:val="0"/>
          <w:numId w:val="1"/>
        </w:numPr>
        <w:jc w:val="left"/>
        <w:rPr>
          <w:rFonts w:ascii="宋体" w:cs="Times New Roman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部门决算单位构成</w:t>
      </w:r>
    </w:p>
    <w:p>
      <w:pPr>
        <w:jc w:val="left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站区机构编制委员会办公室</w:t>
      </w:r>
      <w:r>
        <w:rPr>
          <w:rFonts w:ascii="黑体" w:hAnsi="黑体" w:eastAsia="黑体" w:cs="黑体"/>
          <w:sz w:val="32"/>
          <w:szCs w:val="32"/>
        </w:rPr>
        <w:t>2016</w:t>
      </w:r>
      <w:r>
        <w:rPr>
          <w:rFonts w:hint="eastAsia" w:ascii="黑体" w:hAnsi="黑体" w:eastAsia="黑体" w:cs="黑体"/>
          <w:sz w:val="32"/>
          <w:szCs w:val="32"/>
        </w:rPr>
        <w:t>年度部门决算情况说明</w:t>
      </w: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2"/>
        </w:numPr>
        <w:jc w:val="center"/>
        <w:outlineLvl w:val="0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分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中站区机构编制委员会办公室</w:t>
      </w:r>
      <w:r>
        <w:rPr>
          <w:rFonts w:hint="eastAsia" w:ascii="黑体" w:hAnsi="黑体" w:eastAsia="黑体" w:cs="黑体"/>
          <w:sz w:val="48"/>
          <w:szCs w:val="48"/>
        </w:rPr>
        <w:t>概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48"/>
          <w:szCs w:val="48"/>
        </w:rPr>
        <w:t>况</w:t>
      </w:r>
    </w:p>
    <w:p>
      <w:pPr>
        <w:numPr>
          <w:ilvl w:val="0"/>
          <w:numId w:val="0"/>
        </w:numPr>
        <w:ind w:firstLine="640" w:firstLineChars="200"/>
        <w:jc w:val="both"/>
        <w:outlineLvl w:val="0"/>
        <w:rPr>
          <w:rFonts w:hint="default" w:ascii="Times New Roman" w:hAnsi="Times New Roman" w:cs="Times New Roman"/>
          <w:sz w:val="32"/>
        </w:rPr>
      </w:pPr>
      <w:r>
        <w:rPr>
          <w:rFonts w:hint="eastAsia" w:ascii="隶书" w:hAnsi="隶书" w:eastAsia="隶书" w:cs="隶书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主要职责</w:t>
      </w:r>
    </w:p>
    <w:p>
      <w:pPr>
        <w:pStyle w:val="5"/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9" w:firstLineChars="181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围绕创新体制机制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充分发挥综合性管理机构的作用，切实履行推进行政管理体制改革和机构改革的职能，强化机构编制管理。通过科学配置职能、合理设置机构、完善运行机制、创新管理方式，提高行政效能，不断优化机构编制资源配置，为促进我区经济社会科学发展提供体制机制保障。</w:t>
      </w:r>
    </w:p>
    <w:p>
      <w:pPr>
        <w:pStyle w:val="5"/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9" w:firstLineChars="181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贯彻执行党和国家、省、市有关行政管理体制改革、机构改革和机构编制管理的方针政策、法律法规和规章；拟订机构编制管理方面的政策规定和规范性文件，推进机构编制管理科学化、规范化、法制化建设。</w:t>
      </w:r>
    </w:p>
    <w:p>
      <w:pPr>
        <w:pStyle w:val="5"/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9" w:firstLineChars="181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（二）研究行政管理体制改革、机构改革、事业单位分类改革和相关领域涉及行政管理体制改革的重大问题；协调有关专项改革事宜。</w:t>
      </w:r>
    </w:p>
    <w:p>
      <w:pPr>
        <w:pStyle w:val="5"/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9" w:firstLineChars="181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（三）拟订全区行政管理体制改革和机构改革的总体方案，经批准后组织实施；审核区委各部门、区政府各部门及街道办事处机构改革方案。</w:t>
      </w:r>
    </w:p>
    <w:p>
      <w:pPr>
        <w:pStyle w:val="5"/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9" w:firstLineChars="181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（四）统一管理全区各级党政机关，人大、政协机关，法院、检察院机关，民主党派、人民团体和群众团体机关的机构编制工作。</w:t>
      </w:r>
    </w:p>
    <w:p>
      <w:pPr>
        <w:pStyle w:val="5"/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9" w:firstLineChars="181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（五）协调区委各部门、区政府各部门的职责配置及调整，协调区委、区政府各部门之间以及区级党政部门与街道办事处之间的职责分工。</w:t>
      </w:r>
    </w:p>
    <w:p>
      <w:pPr>
        <w:pStyle w:val="5"/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9" w:firstLineChars="181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（六）审核区委各部门、区政府各部门，区人大、政协机关，法院、检察院机关，民主党派、人民团体和群众团体机关以及区政府派出机构的主要职责、内设机构、人员编制和领导职数。</w:t>
      </w:r>
    </w:p>
    <w:p>
      <w:pPr>
        <w:pStyle w:val="5"/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9" w:firstLineChars="181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（七）拟订全区事业单位管理体制改革和机构改革方案，经批准后组织实施；负责全区各事业单位机构改革方案的审核和机构编制管理工作。</w:t>
      </w:r>
    </w:p>
    <w:p>
      <w:pPr>
        <w:pStyle w:val="5"/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9" w:firstLineChars="181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（八）监督检查全区各级行政管理体制改革、机构改革和机构编制方针政策、法律法规的执行情况。</w:t>
      </w:r>
    </w:p>
    <w:p>
      <w:pPr>
        <w:pStyle w:val="5"/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9" w:firstLineChars="181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（九）建立健全机构编制管理与财政预算、组织人事管理的配合制约机制；推行机构编制实名制管理，负责全区机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</w:rPr>
        <w:t>关、事业单位进人编制审核工作；负责全区机构编制统计工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作。</w:t>
      </w:r>
    </w:p>
    <w:p>
      <w:pPr>
        <w:pStyle w:val="5"/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9" w:firstLineChars="181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（十）负责全区行政审批制度改革的组织实施工作。</w:t>
      </w:r>
    </w:p>
    <w:p>
      <w:pPr>
        <w:pStyle w:val="5"/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9" w:firstLineChars="181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（十一）研究拟订全区事业单位登记管理有关规范性文件，负责全区事业单位登记管理工作。</w:t>
      </w:r>
    </w:p>
    <w:p>
      <w:pPr>
        <w:pStyle w:val="5"/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9" w:firstLineChars="181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（十二）负责全区机构编制信息管理系统建设工作。</w:t>
      </w:r>
    </w:p>
    <w:p>
      <w:pPr>
        <w:numPr>
          <w:ilvl w:val="0"/>
          <w:numId w:val="0"/>
        </w:numPr>
        <w:spacing w:line="360" w:lineRule="auto"/>
        <w:ind w:firstLine="640" w:firstLineChars="200"/>
        <w:jc w:val="left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（十三）承办区委、区政府和区机构编制委员会交办的其他事项。</w:t>
      </w:r>
    </w:p>
    <w:p>
      <w:pPr>
        <w:numPr>
          <w:ilvl w:val="0"/>
          <w:numId w:val="3"/>
        </w:numPr>
        <w:spacing w:line="360" w:lineRule="auto"/>
        <w:ind w:firstLine="640" w:firstLineChars="200"/>
        <w:jc w:val="left"/>
        <w:outlineLvl w:val="1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部门决算单位构成</w:t>
      </w:r>
    </w:p>
    <w:p>
      <w:pPr>
        <w:pStyle w:val="5"/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9" w:firstLineChars="181"/>
        <w:jc w:val="left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纳入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中站区机构编制委员会办公室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年度部门决算编制范围的单位包括：</w:t>
      </w:r>
    </w:p>
    <w:p>
      <w:pPr>
        <w:numPr>
          <w:ilvl w:val="0"/>
          <w:numId w:val="0"/>
        </w:numPr>
        <w:spacing w:line="360" w:lineRule="auto"/>
        <w:ind w:firstLine="640" w:firstLineChars="200"/>
        <w:jc w:val="left"/>
        <w:rPr>
          <w:rFonts w:ascii="楷体_GB2312" w:hAnsi="楷体_GB2312" w:eastAsia="楷体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中站区机构编制委员会办公室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实有人员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人。经费供给方式为财政全额拨款。</w:t>
      </w:r>
    </w:p>
    <w:p>
      <w:pPr>
        <w:ind w:firstLine="640" w:firstLineChars="200"/>
        <w:rPr>
          <w:rFonts w:hint="eastAsia" w:ascii="隶书" w:hAnsi="隶书" w:eastAsia="隶书" w:cs="隶书"/>
          <w:sz w:val="48"/>
          <w:szCs w:val="48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下设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1个事业单位：中站区机构编制电子政务中心，实有人员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人。经费供给方式为财政全额拨款。</w:t>
      </w:r>
    </w:p>
    <w:p>
      <w:pPr>
        <w:jc w:val="center"/>
        <w:outlineLvl w:val="0"/>
        <w:rPr>
          <w:rFonts w:hint="eastAsia" w:ascii="隶书" w:hAnsi="隶书" w:eastAsia="隶书" w:cs="隶书"/>
          <w:sz w:val="48"/>
          <w:szCs w:val="48"/>
        </w:rPr>
      </w:pPr>
    </w:p>
    <w:p>
      <w:pPr>
        <w:jc w:val="both"/>
        <w:outlineLvl w:val="0"/>
        <w:rPr>
          <w:rFonts w:hint="eastAsia" w:ascii="隶书" w:hAnsi="隶书" w:eastAsia="隶书" w:cs="隶书"/>
          <w:sz w:val="48"/>
          <w:szCs w:val="48"/>
        </w:rPr>
      </w:pPr>
    </w:p>
    <w:p>
      <w:pPr>
        <w:jc w:val="center"/>
        <w:outlineLvl w:val="0"/>
        <w:rPr>
          <w:rFonts w:ascii="隶书" w:hAnsi="隶书" w:eastAsia="隶书" w:cs="Times New Roman"/>
          <w:sz w:val="48"/>
          <w:szCs w:val="48"/>
        </w:rPr>
      </w:pPr>
      <w:r>
        <w:rPr>
          <w:rFonts w:hint="eastAsia" w:ascii="隶书" w:hAnsi="隶书" w:eastAsia="隶书" w:cs="隶书"/>
          <w:sz w:val="48"/>
          <w:szCs w:val="48"/>
        </w:rPr>
        <w:t>第</w:t>
      </w:r>
      <w:r>
        <w:rPr>
          <w:rFonts w:hint="eastAsia" w:ascii="隶书" w:hAnsi="隶书" w:eastAsia="隶书" w:cs="隶书"/>
          <w:sz w:val="48"/>
          <w:szCs w:val="48"/>
          <w:lang w:eastAsia="zh-CN"/>
        </w:rPr>
        <w:t>二</w:t>
      </w:r>
      <w:r>
        <w:rPr>
          <w:rFonts w:hint="eastAsia" w:ascii="隶书" w:hAnsi="隶书" w:eastAsia="隶书" w:cs="隶书"/>
          <w:sz w:val="48"/>
          <w:szCs w:val="48"/>
        </w:rPr>
        <w:t>部分</w:t>
      </w:r>
    </w:p>
    <w:p>
      <w:pPr>
        <w:jc w:val="center"/>
        <w:rPr>
          <w:rFonts w:ascii="隶书" w:hAnsi="隶书" w:eastAsia="隶书" w:cs="Times New Roman"/>
          <w:sz w:val="48"/>
          <w:szCs w:val="48"/>
        </w:rPr>
      </w:pPr>
      <w:r>
        <w:rPr>
          <w:rFonts w:hint="eastAsia" w:ascii="黑体" w:hAnsi="黑体" w:eastAsia="黑体" w:cs="黑体"/>
          <w:sz w:val="52"/>
          <w:szCs w:val="52"/>
          <w:lang w:eastAsia="zh-CN"/>
        </w:rPr>
        <w:t>中站区机构编制委员会办公室</w:t>
      </w:r>
    </w:p>
    <w:p>
      <w:pPr>
        <w:tabs>
          <w:tab w:val="center" w:pos="4394"/>
          <w:tab w:val="right" w:pos="8788"/>
        </w:tabs>
        <w:jc w:val="left"/>
        <w:rPr>
          <w:rFonts w:hint="eastAsia" w:ascii="隶书" w:hAnsi="隶书" w:eastAsia="隶书" w:cs="隶书"/>
          <w:sz w:val="48"/>
          <w:szCs w:val="48"/>
        </w:rPr>
      </w:pPr>
      <w:r>
        <w:rPr>
          <w:rFonts w:hint="eastAsia" w:ascii="隶书" w:hAnsi="隶书" w:eastAsia="隶书" w:cs="隶书"/>
          <w:sz w:val="48"/>
          <w:szCs w:val="48"/>
          <w:lang w:eastAsia="zh-CN"/>
        </w:rPr>
        <w:tab/>
      </w:r>
      <w:r>
        <w:rPr>
          <w:rFonts w:ascii="隶书" w:hAnsi="隶书" w:eastAsia="隶书" w:cs="隶书"/>
          <w:sz w:val="48"/>
          <w:szCs w:val="48"/>
        </w:rPr>
        <w:t>2016</w:t>
      </w:r>
      <w:r>
        <w:rPr>
          <w:rFonts w:hint="eastAsia" w:ascii="隶书" w:hAnsi="隶书" w:eastAsia="隶书" w:cs="隶书"/>
          <w:sz w:val="48"/>
          <w:szCs w:val="48"/>
        </w:rPr>
        <w:t>年度部门决算情况说明</w:t>
      </w:r>
    </w:p>
    <w:p>
      <w:pPr>
        <w:tabs>
          <w:tab w:val="center" w:pos="4394"/>
          <w:tab w:val="right" w:pos="8788"/>
        </w:tabs>
        <w:jc w:val="left"/>
        <w:rPr>
          <w:rFonts w:hint="eastAsia" w:ascii="隶书" w:hAnsi="隶书" w:eastAsia="隶书" w:cs="隶书"/>
          <w:sz w:val="48"/>
          <w:szCs w:val="48"/>
        </w:rPr>
      </w:pP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640" w:firstLineChars="200"/>
        <w:outlineLvl w:val="1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关于收入支出决算总体情况说明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</w:rPr>
        <w:t>2016</w:t>
      </w:r>
      <w:r>
        <w:rPr>
          <w:rFonts w:hint="eastAsia" w:ascii="仿宋_GB2312" w:hAnsi="宋体" w:eastAsia="仿宋_GB2312" w:cs="仿宋_GB2312"/>
          <w:sz w:val="32"/>
          <w:szCs w:val="32"/>
        </w:rPr>
        <w:t>年度收入总计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48.53</w:t>
      </w:r>
      <w:r>
        <w:rPr>
          <w:rFonts w:hint="eastAsia" w:ascii="仿宋_GB2312" w:hAnsi="宋体" w:eastAsia="仿宋_GB2312" w:cs="仿宋_GB2312"/>
          <w:sz w:val="32"/>
          <w:szCs w:val="32"/>
        </w:rPr>
        <w:t>万元，支出总计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48.53</w:t>
      </w:r>
      <w:r>
        <w:rPr>
          <w:rFonts w:hint="eastAsia" w:ascii="仿宋_GB2312" w:hAnsi="宋体" w:eastAsia="仿宋_GB2312" w:cs="仿宋_GB2312"/>
          <w:sz w:val="32"/>
          <w:szCs w:val="32"/>
        </w:rPr>
        <w:t>万元，与</w:t>
      </w:r>
      <w:r>
        <w:rPr>
          <w:rFonts w:ascii="仿宋_GB2312" w:hAnsi="宋体" w:eastAsia="仿宋_GB2312" w:cs="仿宋_GB2312"/>
          <w:sz w:val="32"/>
          <w:szCs w:val="32"/>
        </w:rPr>
        <w:t>2015</w:t>
      </w:r>
      <w:r>
        <w:rPr>
          <w:rFonts w:hint="eastAsia" w:ascii="仿宋_GB2312" w:hAnsi="宋体" w:eastAsia="仿宋_GB2312" w:cs="仿宋_GB2312"/>
          <w:sz w:val="32"/>
          <w:szCs w:val="32"/>
        </w:rPr>
        <w:t>年相比，收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入</w:t>
      </w:r>
      <w:r>
        <w:rPr>
          <w:rFonts w:hint="eastAsia" w:ascii="仿宋_GB2312" w:hAnsi="宋体" w:eastAsia="仿宋_GB2312" w:cs="仿宋_GB2312"/>
          <w:sz w:val="32"/>
          <w:szCs w:val="32"/>
        </w:rPr>
        <w:t>、支总计各增加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12.77</w:t>
      </w:r>
      <w:r>
        <w:rPr>
          <w:rFonts w:hint="eastAsia" w:ascii="仿宋_GB2312" w:hAnsi="宋体" w:eastAsia="仿宋_GB2312" w:cs="仿宋_GB2312"/>
          <w:sz w:val="32"/>
          <w:szCs w:val="32"/>
        </w:rPr>
        <w:t>万元，增长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35.71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仿宋_GB2312" w:hAnsi="宋体" w:eastAsia="仿宋_GB2312" w:cs="仿宋_GB2312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jc w:val="center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图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：收、支决算总计变动情况</w:t>
      </w:r>
    </w:p>
    <w:p>
      <w:pPr>
        <w:adjustRightInd w:val="0"/>
        <w:snapToGrid w:val="0"/>
        <w:spacing w:line="360" w:lineRule="auto"/>
        <w:jc w:val="center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宋体" w:hAnsi="宋体" w:cs="宋体"/>
          <w:sz w:val="24"/>
          <w:szCs w:val="24"/>
        </w:rPr>
        <w:t>（单位：万元）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640" w:firstLineChars="200"/>
        <w:outlineLvl w:val="1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关于收入决算情况说明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</w:rPr>
        <w:t>2016</w:t>
      </w:r>
      <w:r>
        <w:rPr>
          <w:rFonts w:hint="eastAsia" w:ascii="仿宋_GB2312" w:hAnsi="宋体" w:eastAsia="仿宋_GB2312" w:cs="仿宋_GB2312"/>
          <w:sz w:val="32"/>
          <w:szCs w:val="32"/>
        </w:rPr>
        <w:t>年度</w:t>
      </w:r>
      <w:r>
        <w:rPr>
          <w:rFonts w:hint="eastAsia" w:ascii="仿宋_GB2312" w:hAnsi="Times New Roman" w:eastAsia="仿宋_GB2312" w:cs="仿宋_GB2312"/>
          <w:sz w:val="32"/>
          <w:szCs w:val="32"/>
        </w:rPr>
        <w:t>收入合计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48.53</w:t>
      </w:r>
      <w:r>
        <w:rPr>
          <w:rFonts w:hint="eastAsia" w:ascii="仿宋_GB2312" w:hAnsi="Times New Roman" w:eastAsia="仿宋_GB2312" w:cs="仿宋_GB2312"/>
          <w:sz w:val="32"/>
          <w:szCs w:val="32"/>
        </w:rPr>
        <w:t>万元，其中：财政拨款收入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48.53</w:t>
      </w:r>
      <w:r>
        <w:rPr>
          <w:rFonts w:hint="eastAsia" w:ascii="仿宋_GB2312" w:hAnsi="Times New Roman" w:eastAsia="仿宋_GB2312" w:cs="仿宋_GB2312"/>
          <w:sz w:val="32"/>
          <w:szCs w:val="32"/>
        </w:rPr>
        <w:t>万元，占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100</w:t>
      </w:r>
      <w:r>
        <w:rPr>
          <w:rFonts w:ascii="仿宋_GB2312" w:hAnsi="Times New Roman" w:eastAsia="仿宋_GB2312" w:cs="仿宋_GB2312"/>
          <w:sz w:val="32"/>
          <w:szCs w:val="32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jc w:val="center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图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：收入决算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640" w:firstLineChars="200"/>
        <w:outlineLvl w:val="1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关于支出决算情况说明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</w:rPr>
        <w:t>2016</w:t>
      </w:r>
      <w:r>
        <w:rPr>
          <w:rFonts w:hint="eastAsia" w:ascii="仿宋_GB2312" w:hAnsi="宋体" w:eastAsia="仿宋_GB2312" w:cs="仿宋_GB2312"/>
          <w:sz w:val="32"/>
          <w:szCs w:val="32"/>
        </w:rPr>
        <w:t>年度支出合计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48.53</w:t>
      </w:r>
      <w:r>
        <w:rPr>
          <w:rFonts w:hint="eastAsia" w:ascii="仿宋_GB2312" w:hAnsi="宋体" w:eastAsia="仿宋_GB2312" w:cs="仿宋_GB2312"/>
          <w:sz w:val="32"/>
          <w:szCs w:val="32"/>
        </w:rPr>
        <w:t>万元，其中：基本支出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48.53</w:t>
      </w:r>
      <w:r>
        <w:rPr>
          <w:rFonts w:hint="eastAsia" w:ascii="仿宋_GB2312" w:hAnsi="宋体" w:eastAsia="仿宋_GB2312" w:cs="仿宋_GB2312"/>
          <w:sz w:val="32"/>
          <w:szCs w:val="32"/>
        </w:rPr>
        <w:t>万元，占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100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仿宋_GB2312" w:hAnsi="宋体" w:eastAsia="仿宋_GB2312" w:cs="仿宋_GB2312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jc w:val="center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宋体" w:hAnsi="宋体" w:cs="宋体"/>
          <w:sz w:val="24"/>
          <w:szCs w:val="24"/>
        </w:rPr>
        <w:t>图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：支出决算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640" w:firstLineChars="200"/>
        <w:outlineLvl w:val="1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关于财政拨款收入支出决算总体情况说明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</w:rPr>
        <w:t>2016</w:t>
      </w:r>
      <w:r>
        <w:rPr>
          <w:rFonts w:hint="eastAsia" w:ascii="仿宋_GB2312" w:hAnsi="宋体" w:eastAsia="仿宋_GB2312" w:cs="仿宋_GB2312"/>
          <w:sz w:val="32"/>
          <w:szCs w:val="32"/>
        </w:rPr>
        <w:t>年财政拨款收支总决算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48.53</w:t>
      </w:r>
      <w:r>
        <w:rPr>
          <w:rFonts w:hint="eastAsia" w:ascii="仿宋_GB2312" w:hAnsi="宋体" w:eastAsia="仿宋_GB2312" w:cs="仿宋_GB2312"/>
          <w:sz w:val="32"/>
          <w:szCs w:val="32"/>
        </w:rPr>
        <w:t>万元。与</w:t>
      </w:r>
      <w:r>
        <w:rPr>
          <w:rFonts w:ascii="仿宋_GB2312" w:hAnsi="宋体" w:eastAsia="仿宋_GB2312" w:cs="仿宋_GB2312"/>
          <w:sz w:val="32"/>
          <w:szCs w:val="32"/>
        </w:rPr>
        <w:t>2015</w:t>
      </w:r>
      <w:r>
        <w:rPr>
          <w:rFonts w:hint="eastAsia" w:ascii="仿宋_GB2312" w:hAnsi="宋体" w:eastAsia="仿宋_GB2312" w:cs="仿宋_GB2312"/>
          <w:sz w:val="32"/>
          <w:szCs w:val="32"/>
        </w:rPr>
        <w:t>年相比，财政拨款收、支总计各增加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12.77</w:t>
      </w:r>
      <w:r>
        <w:rPr>
          <w:rFonts w:hint="eastAsia" w:ascii="仿宋_GB2312" w:hAnsi="宋体" w:eastAsia="仿宋_GB2312" w:cs="仿宋_GB2312"/>
          <w:sz w:val="32"/>
          <w:szCs w:val="32"/>
        </w:rPr>
        <w:t>万元，增长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35.71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仿宋_GB2312" w:hAnsi="宋体" w:eastAsia="仿宋_GB2312" w:cs="仿宋_GB2312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jc w:val="center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图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：财政拨款收、支决算总计变动情况</w:t>
      </w:r>
    </w:p>
    <w:p>
      <w:pPr>
        <w:adjustRightInd w:val="0"/>
        <w:snapToGrid w:val="0"/>
        <w:spacing w:line="360" w:lineRule="auto"/>
        <w:jc w:val="center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宋体" w:hAnsi="宋体" w:cs="宋体"/>
          <w:sz w:val="24"/>
          <w:szCs w:val="24"/>
        </w:rPr>
        <w:t>（单位：万元）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640" w:firstLineChars="200"/>
        <w:outlineLvl w:val="1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关于一般公共预算财政拨款支出决算情况说明</w:t>
      </w:r>
    </w:p>
    <w:p>
      <w:pPr>
        <w:numPr>
          <w:ilvl w:val="0"/>
          <w:numId w:val="5"/>
        </w:numPr>
        <w:adjustRightInd w:val="0"/>
        <w:snapToGrid w:val="0"/>
        <w:spacing w:line="360" w:lineRule="auto"/>
        <w:ind w:firstLine="640" w:firstLineChars="200"/>
        <w:rPr>
          <w:rFonts w:ascii="楷体_GB2312" w:hAnsi="楷体_GB2312" w:eastAsia="楷体_GB2312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财政拨款支出决算总体情况。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</w:rPr>
        <w:t>2016</w:t>
      </w:r>
      <w:r>
        <w:rPr>
          <w:rFonts w:hint="eastAsia" w:ascii="仿宋_GB2312" w:hAnsi="宋体" w:eastAsia="仿宋_GB2312" w:cs="仿宋_GB2312"/>
          <w:sz w:val="32"/>
          <w:szCs w:val="32"/>
        </w:rPr>
        <w:t>年一般公共预算财政拨款支出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48.53</w:t>
      </w:r>
      <w:r>
        <w:rPr>
          <w:rFonts w:hint="eastAsia" w:ascii="仿宋_GB2312" w:hAnsi="宋体" w:eastAsia="仿宋_GB2312" w:cs="仿宋_GB2312"/>
          <w:sz w:val="32"/>
          <w:szCs w:val="32"/>
        </w:rPr>
        <w:t>万元，占支出合计的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100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仿宋_GB2312" w:hAnsi="宋体" w:eastAsia="仿宋_GB2312" w:cs="仿宋_GB2312"/>
          <w:sz w:val="32"/>
          <w:szCs w:val="32"/>
        </w:rPr>
        <w:t>。与</w:t>
      </w:r>
      <w:r>
        <w:rPr>
          <w:rFonts w:ascii="仿宋_GB2312" w:hAnsi="宋体" w:eastAsia="仿宋_GB2312" w:cs="仿宋_GB2312"/>
          <w:sz w:val="32"/>
          <w:szCs w:val="32"/>
        </w:rPr>
        <w:t>2015</w:t>
      </w:r>
      <w:r>
        <w:rPr>
          <w:rFonts w:hint="eastAsia" w:ascii="仿宋_GB2312" w:hAnsi="宋体" w:eastAsia="仿宋_GB2312" w:cs="仿宋_GB2312"/>
          <w:sz w:val="32"/>
          <w:szCs w:val="32"/>
        </w:rPr>
        <w:t>年相比，一般公共预算财政拨款支出增加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12.77</w:t>
      </w:r>
      <w:r>
        <w:rPr>
          <w:rFonts w:hint="eastAsia" w:ascii="仿宋_GB2312" w:hAnsi="宋体" w:eastAsia="仿宋_GB2312" w:cs="仿宋_GB2312"/>
          <w:sz w:val="32"/>
          <w:szCs w:val="32"/>
        </w:rPr>
        <w:t>万元，增长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35.71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仿宋_GB2312" w:hAnsi="宋体" w:eastAsia="仿宋_GB2312" w:cs="仿宋_GB2312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jc w:val="center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图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：财政拨款支出决算变动情况</w:t>
      </w:r>
    </w:p>
    <w:p>
      <w:pPr>
        <w:adjustRightInd w:val="0"/>
        <w:snapToGrid w:val="0"/>
        <w:spacing w:line="360" w:lineRule="auto"/>
        <w:jc w:val="center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宋体" w:hAnsi="宋体" w:cs="宋体"/>
          <w:sz w:val="24"/>
          <w:szCs w:val="24"/>
        </w:rPr>
        <w:t>（单位：万元）</w:t>
      </w:r>
    </w:p>
    <w:p>
      <w:pPr>
        <w:numPr>
          <w:ilvl w:val="0"/>
          <w:numId w:val="5"/>
        </w:numPr>
        <w:adjustRightInd w:val="0"/>
        <w:snapToGrid w:val="0"/>
        <w:spacing w:line="360" w:lineRule="auto"/>
        <w:ind w:firstLine="640" w:firstLineChars="200"/>
        <w:rPr>
          <w:rFonts w:ascii="楷体_GB2312" w:hAnsi="楷体_GB2312" w:eastAsia="楷体_GB2312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财政拨款支出决算结构情况。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</w:rPr>
        <w:t>2016</w:t>
      </w:r>
      <w:r>
        <w:rPr>
          <w:rFonts w:hint="eastAsia" w:ascii="仿宋_GB2312" w:hAnsi="宋体" w:eastAsia="仿宋_GB2312" w:cs="仿宋_GB2312"/>
          <w:sz w:val="32"/>
          <w:szCs w:val="32"/>
        </w:rPr>
        <w:t>年度一般公共预算财政拨款支出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48.53</w:t>
      </w:r>
      <w:r>
        <w:rPr>
          <w:rFonts w:hint="eastAsia" w:ascii="仿宋_GB2312" w:hAnsi="宋体" w:eastAsia="仿宋_GB2312" w:cs="仿宋_GB2312"/>
          <w:sz w:val="32"/>
          <w:szCs w:val="32"/>
        </w:rPr>
        <w:t>万元，主要用于以下方面：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</w:rPr>
        <w:t>一般公共服务（类）</w:t>
      </w:r>
      <w:r>
        <w:rPr>
          <w:rFonts w:hint="eastAsia" w:ascii="仿宋_GB2312" w:hAnsi="宋体" w:eastAsia="仿宋_GB2312" w:cs="仿宋_GB2312"/>
          <w:sz w:val="32"/>
          <w:szCs w:val="32"/>
        </w:rPr>
        <w:t>支出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44.46</w:t>
      </w:r>
      <w:r>
        <w:rPr>
          <w:rFonts w:hint="eastAsia" w:ascii="仿宋_GB2312" w:hAnsi="宋体" w:eastAsia="仿宋_GB2312" w:cs="仿宋_GB2312"/>
          <w:sz w:val="32"/>
          <w:szCs w:val="32"/>
        </w:rPr>
        <w:t>万元，占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91.61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仿宋_GB2312" w:hAnsi="宋体" w:eastAsia="仿宋_GB2312" w:cs="仿宋_GB2312"/>
          <w:sz w:val="32"/>
          <w:szCs w:val="32"/>
        </w:rPr>
        <w:t>；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  <w:lang w:eastAsia="zh-CN"/>
        </w:rPr>
        <w:t>社会保障和就业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</w:rPr>
        <w:t>（类）</w:t>
      </w:r>
      <w:r>
        <w:rPr>
          <w:rFonts w:hint="eastAsia" w:ascii="仿宋_GB2312" w:hAnsi="宋体" w:eastAsia="仿宋_GB2312" w:cs="仿宋_GB2312"/>
          <w:sz w:val="32"/>
          <w:szCs w:val="32"/>
        </w:rPr>
        <w:t>支出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0.06</w:t>
      </w:r>
      <w:r>
        <w:rPr>
          <w:rFonts w:hint="eastAsia" w:ascii="仿宋_GB2312" w:hAnsi="宋体" w:eastAsia="仿宋_GB2312" w:cs="仿宋_GB2312"/>
          <w:sz w:val="32"/>
          <w:szCs w:val="32"/>
        </w:rPr>
        <w:t>万元，占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0.12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仿宋_GB2312" w:hAnsi="宋体" w:eastAsia="仿宋_GB2312" w:cs="仿宋_GB2312"/>
          <w:sz w:val="32"/>
          <w:szCs w:val="32"/>
        </w:rPr>
        <w:t>；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医疗卫生与计划生育（类）支出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0.90万元，占1.85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仿宋_GB2312" w:hAnsi="宋体" w:eastAsia="仿宋_GB2312" w:cs="仿宋_GB2312"/>
          <w:sz w:val="32"/>
          <w:szCs w:val="32"/>
        </w:rPr>
        <w:t>；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住房保障（类）支出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3.11万元6.40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仿宋_GB2312" w:hAnsi="宋体" w:eastAsia="仿宋_GB2312" w:cs="仿宋_GB2312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jc w:val="center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宋体" w:hAnsi="宋体" w:cs="宋体"/>
          <w:sz w:val="24"/>
          <w:szCs w:val="24"/>
        </w:rPr>
        <w:t>图</w:t>
      </w:r>
      <w:r>
        <w:rPr>
          <w:rFonts w:ascii="宋体" w:hAnsi="宋体" w:cs="宋体"/>
          <w:sz w:val="24"/>
          <w:szCs w:val="24"/>
        </w:rPr>
        <w:t>6</w:t>
      </w:r>
      <w:r>
        <w:rPr>
          <w:rFonts w:hint="eastAsia" w:ascii="宋体" w:hAnsi="宋体" w:cs="宋体"/>
          <w:sz w:val="24"/>
          <w:szCs w:val="24"/>
        </w:rPr>
        <w:t>：财政拨款支出决算结构</w:t>
      </w:r>
    </w:p>
    <w:p>
      <w:pPr>
        <w:numPr>
          <w:ilvl w:val="0"/>
          <w:numId w:val="5"/>
        </w:numPr>
        <w:adjustRightInd w:val="0"/>
        <w:snapToGrid w:val="0"/>
        <w:spacing w:line="360" w:lineRule="auto"/>
        <w:ind w:firstLine="640" w:firstLineChars="200"/>
        <w:rPr>
          <w:rFonts w:ascii="楷体_GB2312" w:hAnsi="楷体_GB2312" w:eastAsia="楷体_GB2312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财政拨款支出决算具体情况。</w:t>
      </w:r>
    </w:p>
    <w:p>
      <w:pPr>
        <w:numPr>
          <w:ilvl w:val="0"/>
          <w:numId w:val="6"/>
        </w:numPr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Times New Roman"/>
          <w:b/>
          <w:bCs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</w:rPr>
        <w:t>2016</w:t>
      </w:r>
      <w:r>
        <w:rPr>
          <w:rFonts w:hint="eastAsia" w:ascii="仿宋_GB2312" w:hAnsi="宋体" w:eastAsia="仿宋_GB2312" w:cs="仿宋_GB2312"/>
          <w:sz w:val="32"/>
          <w:szCs w:val="32"/>
        </w:rPr>
        <w:t>年度一般公共预算财政拨款支出年初预算为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48.53</w:t>
      </w:r>
      <w:r>
        <w:rPr>
          <w:rFonts w:hint="eastAsia" w:ascii="仿宋_GB2312" w:hAnsi="宋体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48.53</w:t>
      </w:r>
      <w:r>
        <w:rPr>
          <w:rFonts w:hint="eastAsia" w:ascii="仿宋_GB2312" w:hAnsi="宋体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48.53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仿宋_GB2312" w:hAnsi="宋体" w:eastAsia="仿宋_GB2312" w:cs="仿宋_GB2312"/>
          <w:sz w:val="32"/>
          <w:szCs w:val="32"/>
        </w:rPr>
        <w:t>。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640" w:firstLineChars="200"/>
        <w:outlineLvl w:val="1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关于一般公共预算财政拨款基本支出决算情况说明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</w:rPr>
        <w:t>2016</w:t>
      </w:r>
      <w:r>
        <w:rPr>
          <w:rFonts w:hint="eastAsia" w:ascii="仿宋_GB2312" w:hAnsi="宋体" w:eastAsia="仿宋_GB2312" w:cs="仿宋_GB2312"/>
          <w:sz w:val="32"/>
          <w:szCs w:val="32"/>
        </w:rPr>
        <w:t>年一般公共预算财政拨款基本支出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48.53</w:t>
      </w:r>
      <w:r>
        <w:rPr>
          <w:rFonts w:hint="eastAsia" w:ascii="仿宋_GB2312" w:hAnsi="宋体" w:eastAsia="仿宋_GB2312" w:cs="仿宋_GB2312"/>
          <w:sz w:val="32"/>
          <w:szCs w:val="32"/>
        </w:rPr>
        <w:t>万元，其中：</w:t>
      </w:r>
      <w:r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</w:rPr>
        <w:t>人员经费</w:t>
      </w:r>
      <w:r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  <w:lang w:val="en-US" w:eastAsia="zh-CN"/>
        </w:rPr>
        <w:t>41.31</w:t>
      </w:r>
      <w:r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仿宋_GB2312"/>
          <w:sz w:val="32"/>
          <w:szCs w:val="32"/>
        </w:rPr>
        <w:t>，主要包括：基本工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资11.18万元，</w:t>
      </w:r>
      <w:r>
        <w:rPr>
          <w:rFonts w:hint="eastAsia" w:ascii="仿宋_GB2312" w:hAnsi="宋体" w:eastAsia="仿宋_GB2312" w:cs="仿宋_GB2312"/>
          <w:sz w:val="32"/>
          <w:szCs w:val="32"/>
        </w:rPr>
        <w:t>津贴补贴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24.24万元，其他社会保障缴费0.96万元，</w:t>
      </w:r>
      <w:r>
        <w:rPr>
          <w:rFonts w:hint="eastAsia" w:ascii="仿宋_GB2312" w:hAnsi="宋体" w:eastAsia="仿宋_GB2312" w:cs="仿宋_GB2312"/>
          <w:sz w:val="32"/>
          <w:szCs w:val="32"/>
        </w:rPr>
        <w:t>伙食补助费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0.07万元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仿宋_GB2312"/>
          <w:sz w:val="32"/>
          <w:szCs w:val="32"/>
        </w:rPr>
        <w:t>绩效工资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1.70万元，住房公积金3.11万元，其他对个人和家庭的补助支出0.05万元</w:t>
      </w:r>
      <w:r>
        <w:rPr>
          <w:rFonts w:hint="eastAsia" w:ascii="仿宋_GB2312" w:hAnsi="宋体" w:eastAsia="仿宋_GB2312" w:cs="仿宋_GB2312"/>
          <w:sz w:val="32"/>
          <w:szCs w:val="32"/>
        </w:rPr>
        <w:t>；</w:t>
      </w:r>
      <w:r>
        <w:rPr>
          <w:rFonts w:hint="eastAsia" w:ascii="仿宋_GB2312" w:hAnsi="Times New Roman" w:eastAsia="仿宋_GB2312" w:cs="仿宋_GB2312"/>
          <w:b/>
          <w:bCs/>
          <w:spacing w:val="-1"/>
          <w:kern w:val="0"/>
          <w:sz w:val="32"/>
          <w:szCs w:val="32"/>
        </w:rPr>
        <w:t>公用经费</w:t>
      </w:r>
      <w:r>
        <w:rPr>
          <w:rFonts w:hint="eastAsia" w:ascii="仿宋_GB2312" w:hAnsi="Times New Roman" w:eastAsia="仿宋_GB2312" w:cs="仿宋_GB2312"/>
          <w:spacing w:val="-2"/>
          <w:kern w:val="0"/>
          <w:sz w:val="32"/>
          <w:szCs w:val="32"/>
          <w:lang w:val="en-US" w:eastAsia="zh-CN"/>
        </w:rPr>
        <w:t>7.23</w:t>
      </w:r>
      <w:r>
        <w:rPr>
          <w:rFonts w:hint="eastAsia" w:ascii="仿宋_GB2312" w:hAnsi="Times New Roman" w:eastAsia="仿宋_GB2312" w:cs="仿宋_GB2312"/>
          <w:spacing w:val="-2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仿宋_GB2312"/>
          <w:sz w:val="32"/>
          <w:szCs w:val="32"/>
        </w:rPr>
        <w:t>，主要包括：办公费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4.79万元，印刷费0.58万元，邮电费0.22万元，维修（护）费0.08万元，培训费0.06万元，其他交通费用0.03万元，其他商品和服务支出0.07万元，其他资本性支出1.40万元(其中包括机关运行费)。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640" w:firstLineChars="200"/>
        <w:outlineLvl w:val="1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关于一般公共预算财政拨款“三公”经费支出决算情况说明</w:t>
      </w:r>
    </w:p>
    <w:p>
      <w:pPr>
        <w:numPr>
          <w:ilvl w:val="0"/>
          <w:numId w:val="7"/>
        </w:num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楷体_GB2312" w:hAnsi="楷体_GB2312" w:eastAsia="楷体_GB2312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“三公”经费财政拨款支出决算总体情况说明。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Lines="0" w:afterLines="0" w:line="580" w:lineRule="exact"/>
        <w:ind w:left="0" w:leftChars="0" w:right="0" w:rightChars="0" w:firstLine="632" w:firstLineChars="0"/>
        <w:jc w:val="left"/>
        <w:textAlignment w:val="auto"/>
        <w:outlineLvl w:val="9"/>
        <w:rPr>
          <w:rFonts w:hint="eastAsia" w:ascii="Times New Roman" w:hAnsi="Times New Roman" w:cs="Times New Roman"/>
          <w:spacing w:val="-1"/>
          <w:sz w:val="32"/>
          <w:lang w:val="en-US" w:eastAsia="zh-CN"/>
        </w:rPr>
      </w:pPr>
      <w:r>
        <w:rPr>
          <w:rFonts w:ascii="仿宋_GB2312" w:hAnsi="宋体" w:eastAsia="仿宋_GB2312" w:cs="仿宋_GB2312"/>
          <w:sz w:val="32"/>
          <w:szCs w:val="32"/>
        </w:rPr>
        <w:t>2016</w:t>
      </w:r>
      <w:r>
        <w:rPr>
          <w:rFonts w:hint="eastAsia" w:ascii="仿宋_GB2312" w:hAnsi="宋体" w:eastAsia="仿宋_GB2312" w:cs="仿宋_GB2312"/>
          <w:sz w:val="32"/>
          <w:szCs w:val="32"/>
        </w:rPr>
        <w:t>年度“三公”经费财政拨款支出预算为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0.1</w:t>
      </w:r>
      <w:r>
        <w:rPr>
          <w:rFonts w:hint="eastAsia" w:ascii="仿宋_GB2312" w:hAnsi="宋体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仿宋_GB2312"/>
          <w:sz w:val="32"/>
          <w:szCs w:val="32"/>
        </w:rPr>
        <w:t>万元，完成预算的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0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仿宋_GB2312" w:hAnsi="宋体" w:eastAsia="仿宋_GB2312" w:cs="仿宋_GB2312"/>
          <w:sz w:val="32"/>
          <w:szCs w:val="32"/>
        </w:rPr>
        <w:t>。</w:t>
      </w:r>
      <w:r>
        <w:rPr>
          <w:rFonts w:hint="eastAsia" w:hAnsi="宋体" w:cs="仿宋_GB2312"/>
          <w:sz w:val="32"/>
          <w:szCs w:val="32"/>
          <w:lang w:eastAsia="zh-CN"/>
        </w:rPr>
        <w:t>其中，因公出国费用</w:t>
      </w:r>
      <w:r>
        <w:rPr>
          <w:rFonts w:hint="eastAsia" w:hAnsi="宋体" w:cs="仿宋_GB2312"/>
          <w:sz w:val="32"/>
          <w:szCs w:val="32"/>
          <w:lang w:val="en-US" w:eastAsia="zh-CN"/>
        </w:rPr>
        <w:t>0元，出国0人次。公务车购置费0元，公务车运行维护费0元。公务招待费0元，接待0人次。</w:t>
      </w:r>
      <w:r>
        <w:rPr>
          <w:rFonts w:ascii="仿宋_GB2312" w:hAnsi="宋体" w:eastAsia="仿宋_GB2312" w:cs="仿宋_GB2312"/>
          <w:sz w:val="32"/>
          <w:szCs w:val="32"/>
        </w:rPr>
        <w:t>2016</w:t>
      </w:r>
      <w:r>
        <w:rPr>
          <w:rFonts w:hint="eastAsia" w:ascii="仿宋_GB2312" w:hAnsi="宋体" w:eastAsia="仿宋_GB2312" w:cs="仿宋_GB2312"/>
          <w:sz w:val="32"/>
          <w:szCs w:val="32"/>
        </w:rPr>
        <w:t>年度“三公”经费支出决算数小于预算数的主要原因是</w:t>
      </w:r>
      <w:r>
        <w:rPr>
          <w:rFonts w:hint="eastAsia" w:ascii="Times New Roman" w:hAnsi="Times New Roman" w:cs="Times New Roman"/>
          <w:spacing w:val="-1"/>
          <w:sz w:val="32"/>
          <w:lang w:val="en-US" w:eastAsia="zh-CN"/>
        </w:rPr>
        <w:t>2016年度未发生公务接待支出。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8"/>
        </w:numPr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Lines="0" w:afterLines="0" w:line="580" w:lineRule="exact"/>
        <w:ind w:left="0" w:leftChars="0" w:right="0" w:rightChars="0" w:firstLine="632" w:firstLineChars="0"/>
        <w:jc w:val="left"/>
        <w:textAlignment w:val="auto"/>
        <w:outlineLvl w:val="9"/>
        <w:rPr>
          <w:rFonts w:hint="eastAsia" w:ascii="Times New Roman" w:hAnsi="Times New Roman" w:cs="Times New Roman"/>
          <w:spacing w:val="-1"/>
          <w:sz w:val="32"/>
          <w:lang w:val="en-US" w:eastAsia="zh-CN"/>
        </w:rPr>
      </w:pPr>
      <w:r>
        <w:rPr>
          <w:rFonts w:hint="eastAsia" w:ascii="Times New Roman" w:hAnsi="Times New Roman" w:cs="Times New Roman"/>
          <w:spacing w:val="-1"/>
          <w:sz w:val="32"/>
          <w:lang w:val="en-US" w:eastAsia="zh-CN"/>
        </w:rPr>
        <w:t>政府采购情况说明</w:t>
      </w:r>
    </w:p>
    <w:p>
      <w:pPr>
        <w:ind w:firstLine="64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无政府采购</w:t>
      </w:r>
    </w:p>
    <w:p>
      <w:pPr>
        <w:numPr>
          <w:ilvl w:val="0"/>
          <w:numId w:val="8"/>
        </w:numPr>
        <w:ind w:left="0" w:leftChars="0" w:firstLine="640" w:firstLineChars="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公务车保有量0，未购入新车。</w:t>
      </w:r>
    </w:p>
    <w:p>
      <w:pPr>
        <w:numPr>
          <w:numId w:val="0"/>
        </w:numPr>
        <w:ind w:left="640" w:left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第四部分  名词解释</w:t>
      </w:r>
    </w:p>
    <w:p>
      <w:pPr>
        <w:numPr>
          <w:numId w:val="0"/>
        </w:numPr>
        <w:ind w:left="640" w:left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一、财政拨款收入：指县级财政当年拨付的资金。</w:t>
      </w:r>
    </w:p>
    <w:p>
      <w:pPr>
        <w:numPr>
          <w:numId w:val="0"/>
        </w:numPr>
        <w:ind w:left="640" w:left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二、事业收入：指事业单位开展专业业务活动及辅助活动所取得的收入。</w:t>
      </w:r>
    </w:p>
    <w:p>
      <w:pPr>
        <w:numPr>
          <w:numId w:val="0"/>
        </w:numPr>
        <w:ind w:left="640" w:left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三、其他收入：指本部门取得的除"财政拨款收入"、"事业收入"、"经营收入"等以外的收入。</w:t>
      </w:r>
    </w:p>
    <w:p>
      <w:pPr>
        <w:numPr>
          <w:numId w:val="0"/>
        </w:numPr>
        <w:ind w:left="640" w:left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四、用事业基金弥补收支差额：指事业单位在当年的"财政拨款收入"、"事业收入"和"其他收入"不足以安排当年支出的情况下，使用以前年度积累的事业基金（事业单位当年收支相抵后按国家规定提取、用于弥补以后年度收支差额的基金）弥补当年收支缺口的资金。</w:t>
      </w:r>
    </w:p>
    <w:p>
      <w:pPr>
        <w:numPr>
          <w:numId w:val="0"/>
        </w:numPr>
        <w:ind w:left="640" w:left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五、"三公"经费：纳入县级财政预决算管理"三公"经费，指部门使用财政拨款安排的因公出国（境）费、公务用车购置及运行费和公务接待费。其中，因公出国（境）费反映单位公务出国（境）的国际旅费、国外城市间交通费、住宿费、伙食费、培训费、公杂费等支出；公务用车购置及运行费反映反映单位公务用车车辆购置支出（含车辆购置税）及租用费、燃料费、维修费、过路过桥费、保险费、安全奖励费用等支出；公务接待费反映单位按规定开支的各类公务接待（含外宾接待）支出。</w:t>
      </w:r>
    </w:p>
    <w:p>
      <w:pPr>
        <w:numPr>
          <w:numId w:val="0"/>
        </w:numPr>
        <w:ind w:left="640" w:left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六、机关运行经费：指为保障行政单位（含参照公务员法管理的事业单位）运行用于购买货物和服务的各项资金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p>
      <w:pPr>
        <w:numPr>
          <w:numId w:val="0"/>
        </w:numPr>
        <w:ind w:left="640" w:left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crosoft JhengHei">
    <w:altName w:val="PMingLiU"/>
    <w:panose1 w:val="020B0604030504040204"/>
    <w:charset w:val="88"/>
    <w:family w:val="swiss"/>
    <w:pitch w:val="default"/>
    <w:sig w:usb0="00000000" w:usb1="00000000" w:usb2="00000016" w:usb3="00000000" w:csb0="00100009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altName w:val="MingLiU"/>
    <w:panose1 w:val="03000509000000000000"/>
    <w:charset w:val="88"/>
    <w:family w:val="auto"/>
    <w:pitch w:val="default"/>
    <w:sig w:usb0="00000000" w:usb1="00000000" w:usb2="00000016" w:usb3="00000000" w:csb0="0010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algun Gothic">
    <w:altName w:val="Gulim"/>
    <w:panose1 w:val="020B0503020000020004"/>
    <w:charset w:val="81"/>
    <w:family w:val="auto"/>
    <w:pitch w:val="default"/>
    <w:sig w:usb0="00000000" w:usb1="00000000" w:usb2="00000012" w:usb3="00000000" w:csb0="00080001" w:csb1="00000000"/>
  </w:font>
  <w:font w:name="Meiryo">
    <w:altName w:val="MS UI Gothic"/>
    <w:panose1 w:val="020B0604030504040204"/>
    <w:charset w:val="80"/>
    <w:family w:val="auto"/>
    <w:pitch w:val="default"/>
    <w:sig w:usb0="00000000" w:usb1="00000000" w:usb2="00010012" w:usb3="00000000" w:csb0="6002009F" w:csb1="DFD7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MingLiU-ExtB">
    <w:altName w:val="PMingLiU"/>
    <w:panose1 w:val="02020500000000000000"/>
    <w:charset w:val="88"/>
    <w:family w:val="auto"/>
    <w:pitch w:val="default"/>
    <w:sig w:usb0="00000000" w:usb1="00000000" w:usb2="00000000" w:usb3="00000000" w:csb0="00100001" w:csb1="00000000"/>
  </w:font>
  <w:font w:name="MingLiU_HKSCS">
    <w:altName w:val="PMingLiU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MingLiU_HKSCS-ExtB">
    <w:altName w:val="PMingLiU"/>
    <w:panose1 w:val="02020500000000000000"/>
    <w:charset w:val="88"/>
    <w:family w:val="auto"/>
    <w:pitch w:val="default"/>
    <w:sig w:usb0="00000000" w:usb1="00000000" w:usb2="00000000" w:usb3="00000000" w:csb0="00100001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P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PMingLiU-ExtB">
    <w:altName w:val="PMingLiU"/>
    <w:panose1 w:val="02020500000000000000"/>
    <w:charset w:val="88"/>
    <w:family w:val="auto"/>
    <w:pitch w:val="default"/>
    <w:sig w:usb0="00000000" w:usb1="00000000" w:usb2="00000000" w:usb3="00000000" w:csb0="00100001" w:csb1="00000000"/>
  </w:font>
  <w:font w:name="SimSun-ExtB">
    <w:altName w:val="宋体"/>
    <w:panose1 w:val="02010609060101010101"/>
    <w:charset w:val="86"/>
    <w:family w:val="auto"/>
    <w:pitch w:val="default"/>
    <w:sig w:usb0="00000000" w:usb1="00000000" w:usb2="00000000" w:usb3="00000000" w:csb0="00040001" w:csb1="00000000"/>
  </w:font>
  <w:font w:name="Aharoni">
    <w:altName w:val="Tahoma"/>
    <w:panose1 w:val="02010803020104030203"/>
    <w:charset w:val="00"/>
    <w:family w:val="auto"/>
    <w:pitch w:val="default"/>
    <w:sig w:usb0="00000000" w:usb1="00000000" w:usb2="00000000" w:usb3="00000000" w:csb0="00000020" w:csb1="002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Microsoft Sans Serif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Monotype Corsiva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Browallia New">
    <w:altName w:val="Microsoft Sans Serif"/>
    <w:panose1 w:val="020B0604020202020204"/>
    <w:charset w:val="00"/>
    <w:family w:val="auto"/>
    <w:pitch w:val="default"/>
    <w:sig w:usb0="00000000" w:usb1="00000000" w:usb2="00000000" w:usb3="00000000" w:csb0="00010001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09F" w:csb1="00000000"/>
  </w:font>
  <w:font w:name="Corbel">
    <w:panose1 w:val="020B0503020204020204"/>
    <w:charset w:val="00"/>
    <w:family w:val="auto"/>
    <w:pitch w:val="default"/>
    <w:sig w:usb0="A00002EF" w:usb1="4000204B" w:usb2="00000000" w:usb3="00000000" w:csb0="2000009F" w:csb1="00000000"/>
  </w:font>
  <w:font w:name="David">
    <w:altName w:val="Candara"/>
    <w:panose1 w:val="020E0502060401010101"/>
    <w:charset w:val="00"/>
    <w:family w:val="auto"/>
    <w:pitch w:val="default"/>
    <w:sig w:usb0="00000000" w:usb1="00000000" w:usb2="00000000" w:usb3="00000000" w:csb0="00000020" w:csb1="00200000"/>
  </w:font>
  <w:font w:name="Dilleni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DaunPenh">
    <w:altName w:val="Sylfaen"/>
    <w:panose1 w:val="01010101010101010101"/>
    <w:charset w:val="00"/>
    <w:family w:val="auto"/>
    <w:pitch w:val="default"/>
    <w:sig w:usb0="00000000" w:usb1="00000000" w:usb2="00010000" w:usb3="00000000" w:csb0="000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MS Gothic">
    <w:panose1 w:val="020B0609070205080204"/>
    <w:charset w:val="80"/>
    <w:family w:val="auto"/>
    <w:pitch w:val="default"/>
    <w:sig w:usb0="A00002BF" w:usb1="68C7FCFB" w:usb2="00000010" w:usb3="00000000" w:csb0="4002009F" w:csb1="DFD70000"/>
  </w:font>
  <w:font w:name="BrowalliaUPC">
    <w:altName w:val="Microsoft Sans Serif"/>
    <w:panose1 w:val="020B0604020202020204"/>
    <w:charset w:val="00"/>
    <w:family w:val="auto"/>
    <w:pitch w:val="default"/>
    <w:sig w:usb0="00000000" w:usb1="00000000" w:usb2="00000000" w:usb3="00000000" w:csb0="00010001" w:csb1="00000000"/>
  </w:font>
  <w:font w:name="DokChampa">
    <w:altName w:val="Microsoft Sans Serif"/>
    <w:panose1 w:val="020B0604020202020204"/>
    <w:charset w:val="00"/>
    <w:family w:val="auto"/>
    <w:pitch w:val="default"/>
    <w:sig w:usb0="00000000" w:usb1="00000000" w:usb2="00000000" w:usb3="00000000" w:csb0="40010001" w:csb1="00000000"/>
  </w:font>
  <w:font w:name="Euphemia">
    <w:altName w:val="Trebuchet MS"/>
    <w:panose1 w:val="020B0503040102020104"/>
    <w:charset w:val="00"/>
    <w:family w:val="auto"/>
    <w:pitch w:val="default"/>
    <w:sig w:usb0="00000000" w:usb1="00000000" w:usb2="00002000" w:usb3="00000000" w:csb0="00000001" w:csb1="00000000"/>
  </w:font>
  <w:font w:name="FrankRuehl">
    <w:altName w:val="MV Boli"/>
    <w:panose1 w:val="020E0503060101010101"/>
    <w:charset w:val="00"/>
    <w:family w:val="auto"/>
    <w:pitch w:val="default"/>
    <w:sig w:usb0="00000000" w:usb1="00000000" w:usb2="00000000" w:usb3="00000000" w:csb0="00000020" w:csb1="002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Kartika">
    <w:altName w:val="PMingLiU"/>
    <w:panose1 w:val="02020503030404060203"/>
    <w:charset w:val="00"/>
    <w:family w:val="auto"/>
    <w:pitch w:val="default"/>
    <w:sig w:usb0="00000000" w:usb1="00000000" w:usb2="00000000" w:usb3="00000000" w:csb0="00000001" w:csb1="00000000"/>
  </w:font>
  <w:font w:name="Khmer UI">
    <w:altName w:val="Lucida Sans Unicode"/>
    <w:panose1 w:val="020B0502040204020203"/>
    <w:charset w:val="00"/>
    <w:family w:val="auto"/>
    <w:pitch w:val="default"/>
    <w:sig w:usb0="00000000" w:usb1="00000000" w:usb2="00010000" w:usb3="00000000" w:csb0="00000001" w:csb1="00000000"/>
  </w:font>
  <w:font w:name="Latha">
    <w:altName w:val="Microsoft Sans Serif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LilyUPC">
    <w:altName w:val="Microsoft Sans Serif"/>
    <w:panose1 w:val="020B0604020202020204"/>
    <w:charset w:val="00"/>
    <w:family w:val="auto"/>
    <w:pitch w:val="default"/>
    <w:sig w:usb0="00000000" w:usb1="00000000" w:usb2="00000000" w:usb3="00000000" w:csb0="0001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Microsoft Himalaya">
    <w:altName w:val="Sylfaen"/>
    <w:panose1 w:val="01010100010101010101"/>
    <w:charset w:val="00"/>
    <w:family w:val="auto"/>
    <w:pitch w:val="default"/>
    <w:sig w:usb0="00000000" w:usb1="00000000" w:usb2="00000040" w:usb3="00000000" w:csb0="00000001" w:csb1="00000000"/>
  </w:font>
  <w:font w:name="Microsoft New Tai Lue">
    <w:altName w:val="Lucida Sans Unicode"/>
    <w:panose1 w:val="020B0502040204020203"/>
    <w:charset w:val="00"/>
    <w:family w:val="auto"/>
    <w:pitch w:val="default"/>
    <w:sig w:usb0="00000000" w:usb1="00000000" w:usb2="80000000" w:usb3="00000000" w:csb0="00000001" w:csb1="00000000"/>
  </w:font>
  <w:font w:name="Microsoft PhagsPa">
    <w:altName w:val="Lucida Sans Unicode"/>
    <w:panose1 w:val="020B0502040204020203"/>
    <w:charset w:val="00"/>
    <w:family w:val="auto"/>
    <w:pitch w:val="default"/>
    <w:sig w:usb0="00000000" w:usb1="00000000" w:usb2="08000000" w:usb3="00000000" w:csb0="00000001" w:csb1="00000000"/>
  </w:font>
  <w:font w:name="Microsoft Tai Le">
    <w:altName w:val="Lucida Sans Unicode"/>
    <w:panose1 w:val="020B0502040204020203"/>
    <w:charset w:val="00"/>
    <w:family w:val="auto"/>
    <w:pitch w:val="default"/>
    <w:sig w:usb0="00000000" w:usb1="00000000" w:usb2="40000000" w:usb3="00000000" w:csb0="00000001" w:csb1="00000000"/>
  </w:font>
  <w:font w:name="Microsoft Yi Baiti">
    <w:altName w:val="Monotype Corsiva"/>
    <w:panose1 w:val="03000500000000000000"/>
    <w:charset w:val="00"/>
    <w:family w:val="auto"/>
    <w:pitch w:val="default"/>
    <w:sig w:usb0="00000000" w:usb1="00000000" w:usb2="00080002" w:usb3="00000000" w:csb0="00000001" w:csb1="00000000"/>
  </w:font>
  <w:font w:name="Miriam Fixed">
    <w:altName w:val="GulimChe"/>
    <w:panose1 w:val="020B0509050101010101"/>
    <w:charset w:val="00"/>
    <w:family w:val="auto"/>
    <w:pitch w:val="default"/>
    <w:sig w:usb0="00000000" w:usb1="00000000" w:usb2="00000000" w:usb3="00000000" w:csb0="00000020" w:csb1="00200000"/>
  </w:font>
  <w:font w:name="Mongolian Baiti">
    <w:altName w:val="Monotype Corsiva"/>
    <w:panose1 w:val="03000500000000000000"/>
    <w:charset w:val="00"/>
    <w:family w:val="auto"/>
    <w:pitch w:val="default"/>
    <w:sig w:usb0="00000000" w:usb1="00000000" w:usb2="00020000" w:usb3="00000000" w:csb0="00000001" w:csb1="00000000"/>
  </w:font>
  <w:font w:name="MoolBoran">
    <w:altName w:val="Verdana"/>
    <w:panose1 w:val="020B0100010101010101"/>
    <w:charset w:val="00"/>
    <w:family w:val="auto"/>
    <w:pitch w:val="default"/>
    <w:sig w:usb0="00000000" w:usb1="00000000" w:usb2="00010000" w:usb3="00000000" w:csb0="00000001" w:csb1="00000000"/>
  </w:font>
  <w:font w:name="Nyala">
    <w:altName w:val="Bookman Old Style"/>
    <w:panose1 w:val="02000504070300020003"/>
    <w:charset w:val="00"/>
    <w:family w:val="auto"/>
    <w:pitch w:val="default"/>
    <w:sig w:usb0="00000000" w:usb1="00000000" w:usb2="00000800" w:usb3="00000000" w:csb0="00000093" w:csb1="00000000"/>
  </w:font>
  <w:font w:name="Plantagenet Cherokee">
    <w:altName w:val="MS PMincho"/>
    <w:panose1 w:val="02020602070100000000"/>
    <w:charset w:val="00"/>
    <w:family w:val="auto"/>
    <w:pitch w:val="default"/>
    <w:sig w:usb0="00000000" w:usb1="00000000" w:usb2="00001000" w:usb3="00000000" w:csb0="00000001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Segoe Script">
    <w:altName w:val="MV Boli"/>
    <w:panose1 w:val="020B0504020000000003"/>
    <w:charset w:val="00"/>
    <w:family w:val="auto"/>
    <w:pitch w:val="default"/>
    <w:sig w:usb0="00000000" w:usb1="00000000" w:usb2="00000000" w:usb3="00000000" w:csb0="0000009F" w:csb1="00000000"/>
  </w:font>
  <w:font w:name="Segoe UI">
    <w:altName w:val="Lucida Sans Unicode"/>
    <w:panose1 w:val="020B0502040204020203"/>
    <w:charset w:val="00"/>
    <w:family w:val="auto"/>
    <w:pitch w:val="default"/>
    <w:sig w:usb0="00000000" w:usb1="00000000" w:usb2="00000029" w:usb3="00000000" w:csb0="200001DF" w:csb1="20000000"/>
  </w:font>
  <w:font w:name="Segoe UI Semibold">
    <w:altName w:val="Lucida Sans Unicode"/>
    <w:panose1 w:val="020B0702040204020203"/>
    <w:charset w:val="00"/>
    <w:family w:val="auto"/>
    <w:pitch w:val="default"/>
    <w:sig w:usb0="00000000" w:usb1="00000000" w:usb2="00000001" w:usb3="00000000" w:csb0="2000019F" w:csb1="00000000"/>
  </w:font>
  <w:font w:name="Segoe UI Symbol">
    <w:altName w:val="Symbol"/>
    <w:panose1 w:val="020B0502040204020203"/>
    <w:charset w:val="00"/>
    <w:family w:val="auto"/>
    <w:pitch w:val="default"/>
    <w:sig w:usb0="00000000" w:usb1="00000000" w:usb2="0064C000" w:usb3="00000002" w:csb0="00000001" w:csb1="40000000"/>
  </w:font>
  <w:font w:name="Shonar Bangla">
    <w:altName w:val="Lucida Sans Unicode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Lucida Sans Unicode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implified Arabic Fixed">
    <w:altName w:val="Courier New"/>
    <w:panose1 w:val="02070309020205020404"/>
    <w:charset w:val="00"/>
    <w:family w:val="auto"/>
    <w:pitch w:val="default"/>
    <w:sig w:usb0="00000000" w:usb1="00000000" w:usb2="00000000" w:usb3="00000000" w:csb0="00000041" w:csb1="2008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Traditional Arabic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MS PMincho">
    <w:panose1 w:val="02020600040205080304"/>
    <w:charset w:val="80"/>
    <w:family w:val="roma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Candara">
    <w:panose1 w:val="020E0502030303020204"/>
    <w:charset w:val="00"/>
    <w:family w:val="auto"/>
    <w:pitch w:val="default"/>
    <w:sig w:usb0="A00002EF" w:usb1="4000204B" w:usb2="00000000" w:usb3="00000000" w:csb0="2000009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MV Boli">
    <w:panose1 w:val="02000500030200090000"/>
    <w:charset w:val="00"/>
    <w:family w:val="auto"/>
    <w:pitch w:val="default"/>
    <w:sig w:usb0="00000000" w:usb1="00000000" w:usb2="000001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1BE17"/>
    <w:multiLevelType w:val="singleLevel"/>
    <w:tmpl w:val="5971BE17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71C193"/>
    <w:multiLevelType w:val="singleLevel"/>
    <w:tmpl w:val="5971C193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5971DAC2"/>
    <w:multiLevelType w:val="singleLevel"/>
    <w:tmpl w:val="5971DAC2"/>
    <w:lvl w:ilvl="0" w:tentative="0">
      <w:start w:val="1"/>
      <w:numFmt w:val="chineseCounting"/>
      <w:suff w:val="nothing"/>
      <w:lvlText w:val="%1、"/>
      <w:lvlJc w:val="left"/>
      <w:pPr>
        <w:ind w:firstLine="420"/>
      </w:pPr>
      <w:rPr>
        <w:rFonts w:hint="eastAsia"/>
      </w:rPr>
    </w:lvl>
  </w:abstractNum>
  <w:abstractNum w:abstractNumId="3">
    <w:nsid w:val="5971DBDD"/>
    <w:multiLevelType w:val="singleLevel"/>
    <w:tmpl w:val="5971DBDD"/>
    <w:lvl w:ilvl="0" w:tentative="0">
      <w:start w:val="1"/>
      <w:numFmt w:val="chineseCounting"/>
      <w:suff w:val="nothing"/>
      <w:lvlText w:val="（%1）"/>
      <w:lvlJc w:val="left"/>
      <w:pPr>
        <w:ind w:firstLine="420"/>
      </w:pPr>
      <w:rPr>
        <w:rFonts w:hint="eastAsia"/>
      </w:rPr>
    </w:lvl>
  </w:abstractNum>
  <w:abstractNum w:abstractNumId="4">
    <w:nsid w:val="5971DD00"/>
    <w:multiLevelType w:val="singleLevel"/>
    <w:tmpl w:val="5971DD00"/>
    <w:lvl w:ilvl="0" w:tentative="0">
      <w:start w:val="1"/>
      <w:numFmt w:val="decimal"/>
      <w:suff w:val="nothing"/>
      <w:lvlText w:val="%1．"/>
      <w:lvlJc w:val="left"/>
      <w:pPr>
        <w:ind w:firstLine="400"/>
      </w:pPr>
      <w:rPr>
        <w:rFonts w:hint="default"/>
      </w:rPr>
    </w:lvl>
  </w:abstractNum>
  <w:abstractNum w:abstractNumId="5">
    <w:nsid w:val="5971E093"/>
    <w:multiLevelType w:val="singleLevel"/>
    <w:tmpl w:val="5971E093"/>
    <w:lvl w:ilvl="0" w:tentative="0">
      <w:start w:val="1"/>
      <w:numFmt w:val="chineseCounting"/>
      <w:suff w:val="nothing"/>
      <w:lvlText w:val="（%1）"/>
      <w:lvlJc w:val="left"/>
      <w:pPr>
        <w:ind w:firstLine="420"/>
      </w:pPr>
      <w:rPr>
        <w:rFonts w:hint="eastAsia"/>
      </w:rPr>
    </w:lvl>
  </w:abstractNum>
  <w:abstractNum w:abstractNumId="6">
    <w:nsid w:val="59E95FEC"/>
    <w:multiLevelType w:val="singleLevel"/>
    <w:tmpl w:val="59E95FEC"/>
    <w:lvl w:ilvl="0" w:tentative="0">
      <w:start w:val="1"/>
      <w:numFmt w:val="chineseCounting"/>
      <w:suff w:val="nothing"/>
      <w:lvlText w:val="第%1部"/>
      <w:lvlJc w:val="left"/>
    </w:lvl>
  </w:abstractNum>
  <w:abstractNum w:abstractNumId="7">
    <w:nsid w:val="5A0D3EEF"/>
    <w:multiLevelType w:val="singleLevel"/>
    <w:tmpl w:val="5A0D3EEF"/>
    <w:lvl w:ilvl="0" w:tentative="0">
      <w:start w:val="8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E5283"/>
    <w:rsid w:val="01D96F12"/>
    <w:rsid w:val="05954B3A"/>
    <w:rsid w:val="098E57EB"/>
    <w:rsid w:val="0EF243E3"/>
    <w:rsid w:val="185878E7"/>
    <w:rsid w:val="1A7D47E6"/>
    <w:rsid w:val="1DEB19AA"/>
    <w:rsid w:val="1FC22C00"/>
    <w:rsid w:val="23EE7E31"/>
    <w:rsid w:val="2A4327E3"/>
    <w:rsid w:val="30965C54"/>
    <w:rsid w:val="35C45DA1"/>
    <w:rsid w:val="404233D4"/>
    <w:rsid w:val="4053287D"/>
    <w:rsid w:val="47BC5D54"/>
    <w:rsid w:val="4BA5594A"/>
    <w:rsid w:val="55D05914"/>
    <w:rsid w:val="59013D09"/>
    <w:rsid w:val="626F66C3"/>
    <w:rsid w:val="76033067"/>
    <w:rsid w:val="780E5283"/>
    <w:rsid w:val="7DBF6042"/>
    <w:rsid w:val="7EAA16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Lines="0" w:afterLines="0"/>
      <w:ind w:left="102"/>
    </w:pPr>
    <w:rPr>
      <w:rFonts w:hint="eastAsia" w:ascii="仿宋_GB2312" w:hAnsi="仿宋_GB2312" w:eastAsia="仿宋_GB2312"/>
      <w:sz w:val="32"/>
    </w:rPr>
  </w:style>
  <w:style w:type="paragraph" w:customStyle="1" w:styleId="5">
    <w:name w:val="p0"/>
    <w:basedOn w:val="1"/>
    <w:qFormat/>
    <w:uiPriority w:val="0"/>
    <w:pPr>
      <w:widowControl/>
      <w:ind w:firstLine="420"/>
      <w:jc w:val="left"/>
    </w:pPr>
    <w:rPr>
      <w:rFonts w:eastAsia="宋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2017-10-20T03:39:00Z</dcterms:created>
  <dc:creator>Administrator</dc:creator>
  <cp:lastModifiedBy>Administrator</cp:lastModifiedBy>
  <cp:lastPrinted>2017-10-20T07:36:00Z</cp:lastPrinted>
  <dcterms:modified xsi:type="dcterms:W3CDTF">2017-11-17T08:23:57Z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