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color w:val="000000"/>
          <w:sz w:val="52"/>
          <w:szCs w:val="52"/>
          <w:lang w:val="en-US" w:eastAsia="zh-CN"/>
        </w:rPr>
        <w:t>焦作市</w:t>
      </w:r>
      <w:r>
        <w:rPr>
          <w:rFonts w:hint="eastAsia" w:ascii="黑体" w:hAnsi="黑体" w:eastAsia="黑体"/>
          <w:color w:val="000000"/>
          <w:sz w:val="52"/>
          <w:szCs w:val="52"/>
        </w:rPr>
        <w:t>许衡中学</w:t>
      </w: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color w:val="000000"/>
          <w:sz w:val="52"/>
          <w:szCs w:val="52"/>
        </w:rPr>
        <w:t>2021年度部门预算</w:t>
      </w: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方正小标宋简体" w:eastAsia="黑体" w:cs="方正小标宋简体"/>
          <w:color w:val="000000"/>
          <w:sz w:val="44"/>
          <w:szCs w:val="44"/>
        </w:rPr>
      </w:pPr>
      <w:r>
        <w:rPr>
          <w:rFonts w:hint="eastAsia" w:ascii="黑体" w:hAnsi="方正小标宋简体" w:eastAsia="黑体" w:cs="方正小标宋简体"/>
          <w:color w:val="000000"/>
          <w:sz w:val="32"/>
          <w:szCs w:val="32"/>
        </w:rPr>
        <w:t>二○二一年四月</w:t>
      </w:r>
    </w:p>
    <w:p>
      <w:pPr>
        <w:kinsoku w:val="0"/>
        <w:overflowPunct w:val="0"/>
        <w:adjustRightInd w:val="0"/>
        <w:snapToGrid w:val="0"/>
        <w:spacing w:line="580" w:lineRule="exact"/>
        <w:ind w:right="51"/>
        <w:rPr>
          <w:rFonts w:ascii="仿宋_GB2312" w:hAnsi="仿宋_GB2312" w:eastAsia="仿宋_GB2312" w:cs="仿宋_GB2312"/>
          <w:color w:val="000000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80" w:lineRule="exact"/>
        <w:ind w:left="-142" w:right="51" w:firstLine="30" w:firstLineChars="7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80" w:lineRule="exact"/>
        <w:ind w:left="-142" w:right="51" w:firstLine="30" w:firstLineChars="7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仿宋_GB2312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4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第二部分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许衡中学2021年部门预算情况说明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936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sz w:val="32"/>
          <w:szCs w:val="32"/>
        </w:rPr>
        <w:t>许衡中学2021年度部门预算表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十一、部门（单位）整体绩效目标表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十二、项目（政策）绩效目标表</w:t>
      </w:r>
    </w:p>
    <w:p>
      <w:pPr>
        <w:adjustRightInd w:val="0"/>
        <w:snapToGrid w:val="0"/>
        <w:spacing w:line="580" w:lineRule="exact"/>
        <w:jc w:val="center"/>
        <w:rPr>
          <w:rFonts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第一部分</w:t>
      </w:r>
    </w:p>
    <w:p>
      <w:pPr>
        <w:adjustRightInd w:val="0"/>
        <w:snapToGrid w:val="0"/>
        <w:spacing w:line="580" w:lineRule="exact"/>
        <w:jc w:val="center"/>
        <w:rPr>
          <w:rFonts w:ascii="黑体" w:hAnsi="仿宋_GB2312" w:eastAsia="黑体" w:cs="仿宋_GB2312"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  <w:lang w:val="en-US" w:eastAsia="zh-CN"/>
        </w:rPr>
        <w:t>焦作市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许衡中学概况</w:t>
      </w:r>
    </w:p>
    <w:p>
      <w:pPr>
        <w:adjustRightInd w:val="0"/>
        <w:snapToGrid w:val="0"/>
        <w:spacing w:line="580" w:lineRule="exact"/>
        <w:ind w:firstLine="624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24" w:firstLineChars="200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4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（一）机构设置情况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24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许衡中学内设科室4个：办公室、教务处、总务处、政教处。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4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（二）部门职责</w:t>
      </w:r>
    </w:p>
    <w:p>
      <w:pPr>
        <w:kinsoku w:val="0"/>
        <w:overflowPunct w:val="0"/>
        <w:adjustRightInd w:val="0"/>
        <w:snapToGrid w:val="0"/>
        <w:spacing w:line="580" w:lineRule="exact"/>
        <w:ind w:right="-44" w:firstLine="624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主要职能是研究拟定全校教育发展战略，贯彻执行党中央及省、市、区有关工作的教育方针、政策、法规，研究拟定学校发展规划和年度计划，管理和指导学校基础教育工作，实施初中义务教育，促进基础教育发展，管理学校教育经费预算、决算，执行财务管理制度，负责和指导学校教职工的思想政治工作，规划学校品德教育、体育卫生教育、艺术教育，负责做好社会治安综合治理及安全保卫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4" w:firstLineChars="200"/>
        <w:jc w:val="left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二、许衡中学预算单位构成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许衡中学。</w:t>
      </w:r>
    </w:p>
    <w:p>
      <w:pPr>
        <w:widowControl/>
        <w:shd w:val="clear" w:color="auto" w:fill="FFFFFF"/>
        <w:spacing w:line="580" w:lineRule="exact"/>
        <w:jc w:val="center"/>
        <w:rPr>
          <w:rFonts w:ascii="黑体" w:hAnsi="仿宋_GB2312" w:eastAsia="黑体" w:cs="仿宋_GB2312"/>
          <w:bCs/>
          <w:color w:val="000000"/>
          <w:sz w:val="36"/>
          <w:szCs w:val="36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黑体" w:hAnsi="仿宋_GB2312" w:eastAsia="黑体" w:cs="仿宋_GB2312"/>
          <w:bCs/>
          <w:color w:val="000000"/>
          <w:sz w:val="36"/>
          <w:szCs w:val="36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第二部分</w:t>
      </w:r>
    </w:p>
    <w:p>
      <w:pPr>
        <w:widowControl/>
        <w:shd w:val="clear" w:color="auto" w:fill="FFFFFF"/>
        <w:spacing w:line="580" w:lineRule="exact"/>
        <w:jc w:val="center"/>
        <w:rPr>
          <w:rFonts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  <w:lang w:val="en-US" w:eastAsia="zh-CN"/>
        </w:rPr>
        <w:t>焦作市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许衡中学2021年度部门预算情况说明</w:t>
      </w:r>
    </w:p>
    <w:p>
      <w:pPr>
        <w:adjustRightInd w:val="0"/>
        <w:snapToGrid w:val="0"/>
        <w:spacing w:line="580" w:lineRule="exact"/>
        <w:ind w:firstLine="624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80" w:lineRule="exact"/>
        <w:ind w:firstLine="624" w:firstLineChars="200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许衡中学2021年收入总计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1883.58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1883.58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万元，与2020年相比，收、支总计各增加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167.77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9.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%。主要原因：调入人员2人；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基本工资及绩效增长了3%；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是养老保险及医疗保险增长了15%和14%；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是其他社会保障缴费、住房公积金、奖金增长了6%；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其他工资福利支出及退休费数额虽小增长幅度较大，分别是31%和11%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24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8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许衡中学2021年收入合计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1883.58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1883.58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万元;政府性基金预算收入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；国有资本经营预算收入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0万元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；其他收入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0万元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与2020年相比，增加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167.77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9.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%。主要原因：调入人员2人；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基本工资及绩效增长了3%；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是养老保险及医疗保险增长了15%和14%；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是其他社会保障缴费、住房公积金、奖金增长了6%；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其他工资福利支出及退休费数额虽小增长幅度较大，分别是31%和11%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80" w:lineRule="exact"/>
        <w:ind w:firstLine="624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三、支出预算总体情况说明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许衡中学2021年支出合计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1883.58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1883.58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；本单位2021年没有项目支出。与2020年相比，增加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167.77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9.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%。主要原因：调入人员2人；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基本工资及绩效增长了3%；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是养老保险及医疗保险增长了15%和14%；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是其他社会保障缴费、住房公积金、奖金增长了6%；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其他工资福利支出及退休费数额虽小增长幅度较大，分别是31%和11%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80" w:lineRule="exact"/>
        <w:ind w:firstLine="624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四、财政拨款收入支出预算总体情况说明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许衡中学2021年一般公共预算收支预算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1883.58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万元，政府性基金收支预算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0万元。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 2020年相比，一般公共预算收支预算增加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167.77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9.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%，主要原因：调入人员2人；1是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基本工资及绩效增长了3%；2是养老保险及医疗保险增长了15%和14%；3是其他社会保障缴费、住房公积金、奖金增长了6%；4其他工资福利支出及退休费数额虽小增长幅度较大，分别是31%和11%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80" w:lineRule="exact"/>
        <w:ind w:firstLine="624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五、一般公共预算支出预算情况说明</w:t>
      </w:r>
    </w:p>
    <w:p>
      <w:pPr>
        <w:widowControl/>
        <w:spacing w:line="580" w:lineRule="exact"/>
        <w:ind w:firstLine="622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许衡中学2021年一般公共预算支出年初预算为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1883.58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教育支出1495.64万元，占79.4%；社会保障和就业支出182.93万元，占9.7%；医疗卫生与计划生育支出78.85万元，占4.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%；住房保障支出126.16万元，占6.7%。</w:t>
      </w:r>
    </w:p>
    <w:p>
      <w:pPr>
        <w:spacing w:line="580" w:lineRule="exact"/>
        <w:ind w:firstLine="624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tabs>
          <w:tab w:val="left" w:pos="804"/>
        </w:tabs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许衡中学2021年一般公共预算基本支出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1883.58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1770.97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，主要包括：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基本工资支出682.33万元较上年支出662.75万元增长3.0%、津贴补贴支出234.51万元较上年支出227.6万元增长3.0%、奖金支出87.61万元较上年支出82.52万元增长6.2%、绩效工资支出100.67万元较上年支出97.54万元增长3.2%、机关事业单位基本养老保险缴费支出168.21万元较上年支出198.04万元下降15.1%、医疗保险缴费支出78.85万元较上年支出69.31万元增长13.8%、其他社会保障缴费支出7.36万元较上年支出6.93万元增长6.2%、住房公积金支出126.16万元较上年支出118.83万元增长6.2%、其他工资福利支出33.79万元较上年支出25.87万元增长30.6%、退休费支出6.13万元较上年支出5.54万元增长10.6%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公用经费112.61万元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，较2020年公用经费104.29万元增长7.8%，主要包括：办公费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学校生均经费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112.61万元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24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我单位2021年没有使用政府性基金预算拨款安排的支出。</w:t>
      </w:r>
    </w:p>
    <w:p>
      <w:pPr>
        <w:spacing w:line="580" w:lineRule="exact"/>
        <w:ind w:firstLine="624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我单位2021年没有使用国有资本经营预算拨款安排的支出。</w:t>
      </w:r>
    </w:p>
    <w:p>
      <w:pPr>
        <w:spacing w:line="580" w:lineRule="exact"/>
        <w:ind w:firstLine="624" w:firstLineChars="20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widowControl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许衡中学2021年“三公”经费支出预算为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 比 2020年预算数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无增减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主要原因：2021年没有因公出国（境）费用支出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1.8万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万元，比2020年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无增减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，主要原因：2021年没有公务车购置费用支出；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1.8万元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，主要用于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公务车运行及维护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,比2020年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无增减。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主要原因：力争2021年减少三公经费支出。</w:t>
      </w:r>
    </w:p>
    <w:p>
      <w:pPr>
        <w:spacing w:line="580" w:lineRule="exact"/>
        <w:ind w:firstLine="620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0.07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比2020年预算数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无增减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，主要原因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2021年力争减少三公经费支出。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许衡中学2021年未安排机关运行经费支出预算。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许衡中学2021年未安排政府采购预算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我单位2021年暂时无预算绩效，下年会逐步安排实施。 </w:t>
      </w:r>
    </w:p>
    <w:p>
      <w:pPr>
        <w:spacing w:line="580" w:lineRule="exact"/>
        <w:ind w:left="404" w:leftChars="200"/>
        <w:rPr>
          <w:rFonts w:ascii="楷体_GB2312" w:hAnsi="仿宋_GB2312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2020年期末，许衡中学固定资产总额911.56万元，其中，房屋建筑物667.11万元，车辆15万元，办公设备282.80万元，专用设备36.33万元。车辆共有1辆，其中：一般公务用车1辆；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580" w:lineRule="exact"/>
        <w:ind w:firstLine="624" w:firstLineChars="200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widowControl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没有专项转移支付项目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安排的项目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580" w:lineRule="exact"/>
        <w:ind w:firstLine="624" w:firstLineChars="200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2021年我单位按照市财政预算公开要求，将所属预算单位全部纳入预算公开范围。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第三部分 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一、财政拨款收入：是指区级财政当年拨付的资金。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、教育支出：反映政府教育事务支出。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焦作市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许衡中学2021年度部门预算表</w:t>
      </w:r>
    </w:p>
    <w:p>
      <w:pPr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2021年4月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5日</w:t>
      </w:r>
    </w:p>
    <w:sectPr>
      <w:headerReference r:id="rId3" w:type="default"/>
      <w:pgSz w:w="11906" w:h="16838"/>
      <w:pgMar w:top="2098" w:right="1531" w:bottom="1758" w:left="1531" w:header="851" w:footer="1191" w:gutter="0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1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A2F"/>
    <w:rsid w:val="00076C35"/>
    <w:rsid w:val="000C489F"/>
    <w:rsid w:val="000F4F5B"/>
    <w:rsid w:val="00117A74"/>
    <w:rsid w:val="00144FEE"/>
    <w:rsid w:val="00172A27"/>
    <w:rsid w:val="001C28E3"/>
    <w:rsid w:val="001C2B16"/>
    <w:rsid w:val="001D7315"/>
    <w:rsid w:val="001D780B"/>
    <w:rsid w:val="00216E14"/>
    <w:rsid w:val="00235FD1"/>
    <w:rsid w:val="002374AE"/>
    <w:rsid w:val="0026494D"/>
    <w:rsid w:val="00270873"/>
    <w:rsid w:val="00270DB3"/>
    <w:rsid w:val="002845A6"/>
    <w:rsid w:val="002B0B22"/>
    <w:rsid w:val="002B45F1"/>
    <w:rsid w:val="002E70E9"/>
    <w:rsid w:val="002E7BB6"/>
    <w:rsid w:val="002F0356"/>
    <w:rsid w:val="0036354E"/>
    <w:rsid w:val="00393247"/>
    <w:rsid w:val="00396E18"/>
    <w:rsid w:val="004277D7"/>
    <w:rsid w:val="00436A6D"/>
    <w:rsid w:val="00456F5E"/>
    <w:rsid w:val="004C4514"/>
    <w:rsid w:val="004D3CB4"/>
    <w:rsid w:val="00506242"/>
    <w:rsid w:val="00523BFB"/>
    <w:rsid w:val="00524000"/>
    <w:rsid w:val="0053158A"/>
    <w:rsid w:val="00562FB6"/>
    <w:rsid w:val="00595CC3"/>
    <w:rsid w:val="006860FC"/>
    <w:rsid w:val="00693A1F"/>
    <w:rsid w:val="006D5527"/>
    <w:rsid w:val="0071607E"/>
    <w:rsid w:val="007363CB"/>
    <w:rsid w:val="0079550A"/>
    <w:rsid w:val="007A135C"/>
    <w:rsid w:val="007A3FDA"/>
    <w:rsid w:val="007D1A7E"/>
    <w:rsid w:val="007F47E8"/>
    <w:rsid w:val="00820DB5"/>
    <w:rsid w:val="00857731"/>
    <w:rsid w:val="00894EAE"/>
    <w:rsid w:val="008C2EDA"/>
    <w:rsid w:val="008E7B39"/>
    <w:rsid w:val="00906B5F"/>
    <w:rsid w:val="00926552"/>
    <w:rsid w:val="00933D52"/>
    <w:rsid w:val="00934D32"/>
    <w:rsid w:val="00955ADE"/>
    <w:rsid w:val="0098216D"/>
    <w:rsid w:val="00A44416"/>
    <w:rsid w:val="00A451C3"/>
    <w:rsid w:val="00A776AA"/>
    <w:rsid w:val="00A8124E"/>
    <w:rsid w:val="00AC0D16"/>
    <w:rsid w:val="00AE219D"/>
    <w:rsid w:val="00AE5834"/>
    <w:rsid w:val="00AE6E91"/>
    <w:rsid w:val="00B4130F"/>
    <w:rsid w:val="00B52FC4"/>
    <w:rsid w:val="00B5750F"/>
    <w:rsid w:val="00B65E83"/>
    <w:rsid w:val="00B82ACA"/>
    <w:rsid w:val="00BA3946"/>
    <w:rsid w:val="00BB1F89"/>
    <w:rsid w:val="00BC149A"/>
    <w:rsid w:val="00BE5D3C"/>
    <w:rsid w:val="00C32A5F"/>
    <w:rsid w:val="00C3476B"/>
    <w:rsid w:val="00C47086"/>
    <w:rsid w:val="00C5227B"/>
    <w:rsid w:val="00C9708E"/>
    <w:rsid w:val="00CA66EC"/>
    <w:rsid w:val="00CB242F"/>
    <w:rsid w:val="00D27EAD"/>
    <w:rsid w:val="00D46E69"/>
    <w:rsid w:val="00D53186"/>
    <w:rsid w:val="00D97F4D"/>
    <w:rsid w:val="00DC6BF4"/>
    <w:rsid w:val="00DD1349"/>
    <w:rsid w:val="00DE0A2D"/>
    <w:rsid w:val="00E21D72"/>
    <w:rsid w:val="00E24F2D"/>
    <w:rsid w:val="00E26E9F"/>
    <w:rsid w:val="00E3492B"/>
    <w:rsid w:val="00E506CD"/>
    <w:rsid w:val="00E72110"/>
    <w:rsid w:val="00E733A9"/>
    <w:rsid w:val="00E83C7D"/>
    <w:rsid w:val="00EA1253"/>
    <w:rsid w:val="00EA5A07"/>
    <w:rsid w:val="00ED03E8"/>
    <w:rsid w:val="00EF7B94"/>
    <w:rsid w:val="00F15194"/>
    <w:rsid w:val="00F20179"/>
    <w:rsid w:val="00F40D21"/>
    <w:rsid w:val="00F819CE"/>
    <w:rsid w:val="00F964CE"/>
    <w:rsid w:val="00FB462C"/>
    <w:rsid w:val="00FB56F2"/>
    <w:rsid w:val="00FC0B78"/>
    <w:rsid w:val="00FD31D1"/>
    <w:rsid w:val="069A7DDD"/>
    <w:rsid w:val="0CC26E9A"/>
    <w:rsid w:val="14A87D97"/>
    <w:rsid w:val="18AC63BA"/>
    <w:rsid w:val="1ECA4D65"/>
    <w:rsid w:val="2CA819E2"/>
    <w:rsid w:val="2F65340E"/>
    <w:rsid w:val="445E4035"/>
    <w:rsid w:val="5439564A"/>
    <w:rsid w:val="5E9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490</Words>
  <Characters>2795</Characters>
  <Lines>23</Lines>
  <Paragraphs>6</Paragraphs>
  <TotalTime>2</TotalTime>
  <ScaleCrop>false</ScaleCrop>
  <LinksUpToDate>false</LinksUpToDate>
  <CharactersWithSpaces>3279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2021-03-26T00:50:00Z</dcterms:created>
  <dc:creator>Administrator</dc:creator>
  <cp:lastModifiedBy>Administrator</cp:lastModifiedBy>
  <cp:lastPrinted>2019-03-05T08:57:00Z</cp:lastPrinted>
  <dcterms:modified xsi:type="dcterms:W3CDTF">2022-08-29T02:07:00Z</dcterms:modified>
  <dc:title>焦作市财政局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BF999C0B823B44C6A9D53C773F8EA6B9</vt:lpwstr>
  </property>
</Properties>
</file>