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  <w:lang w:val="en-US" w:eastAsia="zh-CN"/>
        </w:rPr>
        <w:t>焦作市第十五中学</w:t>
      </w:r>
      <w:r>
        <w:rPr>
          <w:rFonts w:hint="eastAsia" w:ascii="Times New Roman" w:hAnsi="Times New Roman" w:eastAsia="黑体"/>
          <w:color w:val="000000"/>
          <w:sz w:val="52"/>
          <w:szCs w:val="52"/>
        </w:rPr>
        <w:t>部门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  <w:r>
        <w:rPr>
          <w:rFonts w:hint="eastAsia" w:ascii="Times New Roman" w:hAnsi="Times New Roman" w:eastAsia="黑体"/>
          <w:color w:val="000000"/>
          <w:sz w:val="52"/>
          <w:szCs w:val="52"/>
        </w:rPr>
        <w:t>2022年度</w:t>
      </w:r>
      <w:r>
        <w:rPr>
          <w:rFonts w:hint="eastAsia" w:eastAsia="黑体"/>
          <w:color w:val="000000"/>
          <w:sz w:val="52"/>
          <w:szCs w:val="52"/>
          <w:lang w:eastAsia="zh-CN"/>
        </w:rPr>
        <w:t>单位</w:t>
      </w:r>
      <w:r>
        <w:rPr>
          <w:rFonts w:hint="eastAsia" w:ascii="Times New Roman" w:hAnsi="Times New Roman" w:eastAsia="黑体"/>
          <w:color w:val="000000"/>
          <w:sz w:val="52"/>
          <w:szCs w:val="52"/>
        </w:rPr>
        <w:t>预算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黑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二○二二年五月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目</w:t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643" w:firstLineChars="200"/>
        <w:textAlignment w:val="auto"/>
        <w:rPr>
          <w:rFonts w:hint="eastAsia" w:ascii="Times New Roman" w:hAnsi="Times New Roman" w:eastAsia="仿宋_GB2312" w:cs="仿宋_GB2312"/>
          <w:w w:val="99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Times New Roman" w:hAnsi="Times New Roman" w:eastAsia="仿宋_GB2312" w:cs="仿宋_GB2312"/>
          <w:w w:val="99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21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第二部分 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焦作市第十五中学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2022年单位预算情况说明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21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第三部分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焦作市十五中学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2022年度单位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一、部门收支预算表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二、部门收入预算表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三、部门支出预算表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七、一般公共预算基本支出明细表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八、支出经济分类汇总表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九、一般公共预算“三公”经费预算表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十、政府性基金支出预算表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十一、国有资本经营支出预算表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十二、项目支出预算表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十三、行政（事业）单位机构运行经费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940" w:firstLineChars="294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十四、本级部门预算项目绩效目标表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  <w:lang w:val="en-US" w:eastAsia="zh-CN"/>
        </w:rPr>
        <w:t>焦作市第十五中学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（一）机构设置情况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焦作市第十五中学内设科室4个，分别是：办公室、教务处、政教处、总务处。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（二）部门职责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焦作市第十五中学位于中站区怡光路，为财政全供事业单位，实行九年义务教育8规制24个教学班。宣传贯彻执行党和国家的教育方针、教育政策、教育法律和法规，贯彻执行上级教育行政部门的各项规章制度。结合实际制定并组织实施本镇的教育事业发展规划。在区教育局的领导下，全面开展普及九年义务教育，组织教师动员少年就近入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二、</w:t>
      </w:r>
      <w:r>
        <w:rPr>
          <w:rFonts w:hint="eastAsia" w:eastAsia="黑体" w:cs="仿宋_GB2312"/>
          <w:color w:val="000000"/>
          <w:sz w:val="32"/>
          <w:szCs w:val="32"/>
          <w:lang w:val="en-US" w:eastAsia="zh-CN"/>
        </w:rPr>
        <w:t>焦作市第十五中学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部门预算单位构成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2"/>
          <w:szCs w:val="32"/>
          <w:lang w:val="en-US" w:eastAsia="zh-CN"/>
        </w:rPr>
        <w:t>焦作市第十五中学。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第二部分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  <w:lang w:val="en-US" w:eastAsia="zh-CN"/>
        </w:rPr>
        <w:t>焦作市第十五中学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2022年度部门预算情况说明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Arial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焦作市第十五中学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2022年收入总计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2066.96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2066.96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万元，与2021年相比，收、支总计各增加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362.24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21.25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了生均经费。 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焦作市第十五中学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2022年收入合计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2066.96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2066.96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政府性基金预算收入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万元；国有资本经营预算收</w:t>
      </w:r>
      <w:r>
        <w:rPr>
          <w:rFonts w:hint="eastAsia" w:ascii="Times New Roman" w:hAnsi="Times New Roman" w:eastAsia="仿宋_GB2312" w:cs="仿宋_GB2312"/>
          <w:color w:val="000000"/>
          <w:spacing w:val="6"/>
          <w:sz w:val="32"/>
          <w:szCs w:val="32"/>
        </w:rPr>
        <w:t>入</w:t>
      </w:r>
      <w:r>
        <w:rPr>
          <w:rFonts w:hint="eastAsia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万元；财政专户管理资金收入</w:t>
      </w:r>
      <w:r>
        <w:rPr>
          <w:rFonts w:hint="eastAsia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万元；其他收入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焦作市第十五中学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2022年支出合计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2066.96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2016.07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97.54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50.89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2.46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焦作市第十五中学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2022年一般公共预算收支预算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2066.96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万元，政府性基金收支预算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与 2021年相比，一般公共预算收支预算增加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362.24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21.25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%，主要原因：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了生均经费；政府性基金收支预算增加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增长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22"/>
        <w:textAlignment w:val="auto"/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焦作市第十五中学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2022年一般公共预算支出年初预算为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2066.96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万元。主要用于以下方面：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教育支出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1628.58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78.79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社会保障和就业支出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265.79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12.86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%；医疗卫生与计划生育支出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66.38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3.21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%；住房保障支出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106.21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5.14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22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焦作市第十五中学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2022年一般公共预算基本支出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2016.07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Times New Roman" w:hAnsi="Times New Roman" w:eastAsia="仿宋_GB2312" w:cs="仿宋_GB2312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eastAsia="仿宋_GB2312" w:cs="仿宋_GB2312"/>
          <w:b/>
          <w:color w:val="000000"/>
          <w:kern w:val="0"/>
          <w:sz w:val="32"/>
          <w:szCs w:val="32"/>
          <w:lang w:val="en-US" w:eastAsia="zh-CN"/>
        </w:rPr>
        <w:t>1863.08</w:t>
      </w:r>
      <w:r>
        <w:rPr>
          <w:rFonts w:hint="eastAsia" w:ascii="Times New Roman" w:hAnsi="Times New Roman" w:eastAsia="仿宋_GB2312" w:cs="仿宋_GB2312"/>
          <w:b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，主要包括：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基本工资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620.18万元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、津贴补贴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190.13万元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、奖金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295.84万元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、绩效工资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275.97万元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、机关事业单位基本养老保险缴费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141.62万元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、职业年金缴费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97.36万元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、医疗保险缴费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66.38万元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、其他社会保障缴费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4.83万元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、住房公积金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106.21万元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、离休费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8.24万元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、退休费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56.32万元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公用经费</w:t>
      </w: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152.99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，主要包括：办公费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30万元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、水费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10.73万元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、电费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7.2万元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、差旅费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、维修（护）费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23.89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、培训费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3.07万元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、公务接待费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0.07万元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、专用材料费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、福利费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22.13万元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、公务用车运行维护费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1.2万元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、办公设备购置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27万元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、专用设备购置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6万元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工会经费17.7万元。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638" w:leftChars="304" w:right="0" w:firstLine="0" w:firstLineChars="0"/>
        <w:textAlignment w:val="auto"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我单位2022年没有使用政府性基金预算拨款安排的支出。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八、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我单位2022年没有使用国有资本经营预算拨款安排的支出。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九、“三公”经费支出预算情况说明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焦作市第十五中学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2022年“三公”经费支出预算为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1.27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 比2021年预算数减少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0.6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万元，下降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32.09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万元。预算数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2021年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相比无增减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1.2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元。其中公务车辆购置费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万元，预算数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2021年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相比无增减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公务用车运行维护费 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1.2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，主要用于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车辆运行维护费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,比2021年减少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0.6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万元，较上年下降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33.33%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，主要原因：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节约成本，压缩支出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0.07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万元，主要用于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公务接待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预算数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2021年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相比无增减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（一）机构运行经费支出情况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焦作市第十五中学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2022年机构运行经费支出预算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113.16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万元，主要保障机构正常运转及正常履职需要的办公费、水电费、物业费、维修费、差旅费等支出，比2021年增加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6.2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万元，增长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5.80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生均经费增加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</w:rPr>
        <w:t>2022年政府采购预算安排</w:t>
      </w:r>
      <w:r>
        <w:rPr>
          <w:rFonts w:hint="eastAsia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</w:rPr>
        <w:t>万元，其中：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政府采购货物预算</w:t>
      </w:r>
      <w:r>
        <w:rPr>
          <w:rFonts w:hint="eastAsia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万元、政府采购工程预算</w:t>
      </w:r>
      <w:r>
        <w:rPr>
          <w:rFonts w:hint="eastAsia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万元、政府采购服务预算</w:t>
      </w:r>
      <w:r>
        <w:rPr>
          <w:rFonts w:hint="eastAsia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焦作市第十五中学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按要求编制了绩效目标，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包括部门（单位）整体绩效目标和项目支出绩效目标，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综合反映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了部门（单位）及各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项目预期完成的数量、实效、质量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，产生的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社会经济效益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服务对象满意度等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情况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2022年，我部门（单位）纳入预算绩效管理的支出总额为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2066.96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万元。其中：人员经费支出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1863.08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万元；公用经费支出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152.99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万元；项目支出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50.89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万元，涉及项目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2021年期末，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焦作市第十五中学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部门固定资产总额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1723.77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1106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万元，车辆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万元，办公设备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378.13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万元，专用设备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120.4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万元，其他资产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119.24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万元。车辆共有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其中：一般公务用车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辆，执法执勤车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我部门负责管理的专项转移支付项目共有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项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2022年我单位按照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财政预算公开要求，将所属预算单位全部纳入预算公开范围。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第三部分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七、行政（事业）单位机构运行经费：是指为保障行政（事业）单位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640" w:firstLineChars="200"/>
        <w:textAlignment w:val="auto"/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八、</w:t>
      </w:r>
      <w:r>
        <w:rPr>
          <w:rFonts w:hint="eastAsia" w:ascii="仿宋_GB2312" w:hAnsi="宋体" w:eastAsia="仿宋_GB2312" w:cs="Courier New"/>
          <w:color w:val="000000"/>
          <w:kern w:val="2"/>
          <w:sz w:val="32"/>
          <w:szCs w:val="32"/>
          <w:lang w:val="en-US" w:eastAsia="zh-CN" w:bidi="ar-SA"/>
        </w:rPr>
        <w:t>教育支出：反映政府教育事务支出。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mVhOTcxOWQ0ZTk1MTk3NTY0NjE1Njg5NDhiNjYifQ=="/>
  </w:docVars>
  <w:rsids>
    <w:rsidRoot w:val="2797616C"/>
    <w:rsid w:val="09AA5695"/>
    <w:rsid w:val="0A7B3DF6"/>
    <w:rsid w:val="0B2814F5"/>
    <w:rsid w:val="13F70F17"/>
    <w:rsid w:val="16F2712F"/>
    <w:rsid w:val="1F9C49ED"/>
    <w:rsid w:val="205D29CB"/>
    <w:rsid w:val="2797616C"/>
    <w:rsid w:val="27D06F63"/>
    <w:rsid w:val="28F044C2"/>
    <w:rsid w:val="2C492C27"/>
    <w:rsid w:val="30180D8D"/>
    <w:rsid w:val="35607A21"/>
    <w:rsid w:val="37D84A04"/>
    <w:rsid w:val="387F71D3"/>
    <w:rsid w:val="39AD24F8"/>
    <w:rsid w:val="3C452FAA"/>
    <w:rsid w:val="40667C0C"/>
    <w:rsid w:val="42341CEC"/>
    <w:rsid w:val="44852225"/>
    <w:rsid w:val="462753A7"/>
    <w:rsid w:val="4E56186F"/>
    <w:rsid w:val="508F7EE8"/>
    <w:rsid w:val="522D085D"/>
    <w:rsid w:val="523142A8"/>
    <w:rsid w:val="5512478E"/>
    <w:rsid w:val="5DAD3649"/>
    <w:rsid w:val="5F837AEF"/>
    <w:rsid w:val="609C1893"/>
    <w:rsid w:val="614D556F"/>
    <w:rsid w:val="62AF2AA7"/>
    <w:rsid w:val="62C119FE"/>
    <w:rsid w:val="6562004F"/>
    <w:rsid w:val="6636546E"/>
    <w:rsid w:val="6E3D4AE6"/>
    <w:rsid w:val="6F945E67"/>
    <w:rsid w:val="702B0076"/>
    <w:rsid w:val="706571F3"/>
    <w:rsid w:val="73A830B2"/>
    <w:rsid w:val="77553692"/>
    <w:rsid w:val="79B57E3E"/>
    <w:rsid w:val="7B78098D"/>
    <w:rsid w:val="7F31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00" w:lineRule="exact"/>
      <w:ind w:firstLine="20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2660</Words>
  <Characters>3036</Characters>
  <Lines>0</Lines>
  <Paragraphs>0</Paragraphs>
  <TotalTime>5</TotalTime>
  <ScaleCrop>false</ScaleCrop>
  <LinksUpToDate>false</LinksUpToDate>
  <CharactersWithSpaces>3059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2022-05-11T06:45:00Z</dcterms:created>
  <dc:creator>Administrator</dc:creator>
  <cp:lastModifiedBy>Administrator</cp:lastModifiedBy>
  <dcterms:modified xsi:type="dcterms:W3CDTF">2023-05-09T01:34:10Z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6D6309E4145F4389A6ACDD025B2C264F</vt:lpwstr>
  </property>
</Properties>
</file>