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both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焦作市中站区金融工作局</w:t>
      </w: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2022年度部门预算</w:t>
      </w: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 w:cs="方正小标宋简体"/>
          <w:color w:val="000000"/>
          <w:sz w:val="44"/>
          <w:szCs w:val="44"/>
        </w:rPr>
      </w:pPr>
      <w:r>
        <w:rPr>
          <w:rFonts w:hint="eastAsia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cs="仿宋_GB2312"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cs="仿宋_GB2312" w:asciiTheme="majorEastAsia" w:hAnsiTheme="majorEastAsia" w:eastAsiaTheme="majorEastAsia"/>
          <w:color w:val="000000"/>
          <w:sz w:val="44"/>
          <w:szCs w:val="44"/>
        </w:rPr>
        <w:t xml:space="preserve">目 </w:t>
      </w:r>
      <w:r>
        <w:rPr>
          <w:rFonts w:hint="eastAsia" w:cs="仿宋_GB2312" w:asciiTheme="majorEastAsia" w:hAnsiTheme="majorEastAsia" w:eastAsiaTheme="majorEastAsia"/>
          <w:color w:val="000000"/>
          <w:spacing w:val="2"/>
          <w:sz w:val="44"/>
          <w:szCs w:val="44"/>
        </w:rPr>
        <w:t xml:space="preserve"> </w:t>
      </w:r>
      <w:r>
        <w:rPr>
          <w:rFonts w:hint="eastAsia" w:cs="仿宋_GB2312" w:asciiTheme="majorEastAsia" w:hAnsiTheme="majorEastAsia" w:eastAsiaTheme="majorEastAsia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w w:val="99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eastAsia="仿宋_GB2312" w:cs="仿宋_GB2312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第二部分 焦作市中站区金融工作局2022年部门预算情况说明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  焦作市中站区金融工作局2022年度部门预算表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十三、行政（事业）单位机构运行经费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十四、本级部门整体绩效目标表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十五、本级部门预算项目绩效目标表</w:t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第一部分</w:t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焦作市中站区金融工作局概况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center"/>
        <w:rPr>
          <w:rFonts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主要职能</w:t>
      </w:r>
    </w:p>
    <w:p>
      <w:pPr>
        <w:pStyle w:val="5"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Chars="0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机构设置情况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区金融工作局机关行政编制3名。下属中站区金融服务中心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单位性质为事业单位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财政全供，编制8名。金融工作局内设科室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个，分别是：综合股、银行保险股、资本市场股、金融稳定股。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（二）部门职责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贯彻落实党和国家金融工作法律法规和方针、政策；研究拟订金融业发展中长期规划和政策措施；研究提出加强对企业金融业服务、促进金融业发展的意见和建议。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负责和联系证券监管机构，为证券监管机构履行职责创造良好的条件和环境；引进区内外金融机构入驻中站；组织开展政府与金融机构合作、金融机构和企业对接、引导、协调和鼓励金融机构加大全区经济社会发展的支持力度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3、促进全区资本市场的改革、培育和发展，推进多层次资本市场建设，统筹推动全区企业改制上市、挂牌工作；协调上市公司重组、兼并和再融资工作；联系和服务资本市场中介机构。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4、指导协调城市商业银行、农村信用社等地方金融机构的改革、发展和重组。</w:t>
      </w:r>
    </w:p>
    <w:p>
      <w:pPr>
        <w:snapToGrid w:val="0"/>
        <w:spacing w:line="544" w:lineRule="atLeast"/>
        <w:ind w:firstLine="640" w:firstLineChars="200"/>
        <w:jc w:val="left"/>
        <w:textAlignment w:val="baseline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5、负责小额贷款机构和融资性担保机构的监督管理，引导其规范运作、合规经营、健康发展。</w:t>
      </w:r>
    </w:p>
    <w:p>
      <w:pPr>
        <w:snapToGrid w:val="0"/>
        <w:spacing w:line="544" w:lineRule="atLeast"/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6、会同有关部门防范、化解和处置全区金融风险；协调有关部门做好打击非法集资工作；会同有关部门推进全区金融生态环境建设。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7、承担中站区打击和处置非法集资工作领导小组的日常工作。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8、承办区政府交办的其他事项。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二、焦作市中站区金融工作局预算单位构成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本预算为包括本级预算和所属单位预算在内的汇总预算，预算单位构成：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焦作市中站区金融工作局（本级）。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焦作市中站区金融工作局2022年度部门预算情况说明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一、收入支出预算总体情况说明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焦作市中站区金融工作局2022年收入总计130.06万元，支出总计130.06万元，与2021年相比，收、支总计各增加44.17万元，增长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51.43</w:t>
      </w:r>
      <w:r>
        <w:rPr>
          <w:rFonts w:hint="eastAsia" w:ascii="仿宋" w:hAnsi="仿宋" w:eastAsia="仿宋" w:cs="仿宋"/>
          <w:sz w:val="32"/>
          <w:szCs w:val="32"/>
        </w:rPr>
        <w:t xml:space="preserve">%。主要原因：人员增加和项目经费增加。 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2022年收入合计130.06万元，其中：一般公共预算收入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130.06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万元; 政府性基金预算收入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万元；国有资本经营预算收</w:t>
      </w:r>
      <w:r>
        <w:rPr>
          <w:rFonts w:hint="eastAsia" w:ascii="仿宋" w:hAnsi="仿宋" w:eastAsia="仿宋" w:cs="仿宋_GB2312"/>
          <w:color w:val="000000"/>
          <w:spacing w:val="6"/>
          <w:sz w:val="32"/>
          <w:szCs w:val="32"/>
        </w:rPr>
        <w:t>入</w:t>
      </w:r>
      <w:r>
        <w:rPr>
          <w:rFonts w:hint="eastAsia" w:ascii="仿宋" w:hAnsi="仿宋" w:eastAsia="仿宋" w:cs="Arial"/>
          <w:color w:val="000000"/>
          <w:spacing w:val="6"/>
          <w:sz w:val="32"/>
          <w:szCs w:val="32"/>
        </w:rPr>
        <w:t>0万元；财政专户管理资金收入0万元；其他收入</w:t>
      </w:r>
      <w:r>
        <w:rPr>
          <w:rFonts w:hint="eastAsia" w:ascii="仿宋" w:hAnsi="仿宋" w:eastAsia="仿宋" w:cs="仿宋_GB2312"/>
          <w:color w:val="000000"/>
          <w:spacing w:val="6"/>
          <w:kern w:val="0"/>
          <w:sz w:val="32"/>
          <w:szCs w:val="32"/>
        </w:rPr>
        <w:t>0万元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2022年支出合计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130.06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114.06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87.7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；项目支出16万元，占12.3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%。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2022年一般公共预算收支预算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130.06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，政府性基金收支预算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与 2021年相比，一般公共预算收支预算增加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44.17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51.43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%，主要原因：人员增加、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项目经费增加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ascii="仿宋" w:hAnsi="仿宋" w:eastAsia="仿宋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2022年一般公共预算支出年初预算为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130.06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一般公共服务支出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112.79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万元，占86.7%；</w:t>
      </w:r>
      <w:r>
        <w:rPr>
          <w:rFonts w:hint="eastAsia" w:ascii="仿宋" w:hAnsi="仿宋" w:eastAsia="仿宋" w:cs="仿宋_GB2312"/>
          <w:color w:val="000000"/>
          <w:spacing w:val="6"/>
          <w:kern w:val="0"/>
          <w:sz w:val="32"/>
          <w:szCs w:val="32"/>
        </w:rPr>
        <w:t>社会保障和就业支出8.51万元，占6.53%；医疗卫生与计划生育支出3.37万元，占2.61%；住房保障支出5.39万元，占4.16%。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2022年一般公共预算基本支出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114.06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>105.34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，主要包括：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</w:rPr>
        <w:t>公用经费8.72万元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我单位2022年没有使用政府性基金预算拨款安排的支出。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八、</w:t>
      </w:r>
      <w:r>
        <w:rPr>
          <w:rFonts w:hint="eastAsia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我单位2022年没有使用国有资本经营预算拨款安排的支出。</w:t>
      </w:r>
    </w:p>
    <w:p>
      <w:pPr>
        <w:pStyle w:val="5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Chars="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“三公”经费支出预算情况说明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74" w:lineRule="exact"/>
        <w:ind w:left="160" w:leftChars="76" w:firstLine="64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2022年“三公”经费支出预算为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1.2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2021年预算数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相比无增减。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与2021年预算数相比无增减。</w:t>
      </w:r>
    </w:p>
    <w:p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1.2万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其中公务车辆购置费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与2021年相比无增减；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公务用车运行维护费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1.2万元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，主要用于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车辆运行维护，与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21年相比无增减。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outlineLvl w:val="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.03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主要用于日常公务接待，与2021年相比无增减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焦作市中站区金融工作局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2022年机构运行经费支出预算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</w:rPr>
        <w:t>2.17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万元，主要保障机构正常运转及正常履职需要的办公费、水电费、物业费、维修费、差旅费等支出，比2021年减少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</w:rPr>
        <w:t>4.4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</w:rPr>
        <w:t>66.97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lang w:val="en-US" w:eastAsia="zh-CN"/>
        </w:rPr>
        <w:t>一是调整口径后，2022年交通补和通讯补不再包含在机构运行经费中，二是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办公费减少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我部门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2年没有安排政府采购。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ascii="仿宋" w:hAnsi="仿宋" w:eastAsia="仿宋" w:cs="仿宋_GB2312"/>
          <w:color w:val="000000"/>
          <w:sz w:val="32"/>
          <w:szCs w:val="32"/>
        </w:rPr>
        <w:t>按要求编制了绩效目标，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ascii="仿宋" w:hAnsi="仿宋" w:eastAsia="仿宋" w:cs="仿宋_GB2312"/>
          <w:color w:val="000000"/>
          <w:sz w:val="32"/>
          <w:szCs w:val="32"/>
        </w:rPr>
        <w:t>综合反映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了部门（单位）及各</w:t>
      </w:r>
      <w:r>
        <w:rPr>
          <w:rFonts w:ascii="仿宋" w:hAnsi="仿宋" w:eastAsia="仿宋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，产生的</w:t>
      </w:r>
      <w:r>
        <w:rPr>
          <w:rFonts w:ascii="仿宋" w:hAnsi="仿宋" w:eastAsia="仿宋" w:cs="仿宋_GB2312"/>
          <w:color w:val="000000"/>
          <w:sz w:val="32"/>
          <w:szCs w:val="32"/>
        </w:rPr>
        <w:t>社会经济效益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</w:t>
      </w:r>
      <w:r>
        <w:rPr>
          <w:rFonts w:ascii="仿宋" w:hAnsi="仿宋" w:eastAsia="仿宋" w:cs="仿宋_GB2312"/>
          <w:color w:val="000000"/>
          <w:sz w:val="32"/>
          <w:szCs w:val="32"/>
        </w:rPr>
        <w:t>服务对象满意度等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情况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2022年，纳入预算绩效管理的支出总额为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130.06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万元。其中：人员经费支出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105.34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万元；公用经费支出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8.72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万元；项目支出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万元，涉及项目5个。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bCs/>
          <w:color w:val="000000"/>
          <w:sz w:val="32"/>
          <w:szCs w:val="32"/>
        </w:rPr>
      </w:pPr>
      <w:r>
        <w:rPr>
          <w:rFonts w:hint="eastAsia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2021年期末，</w:t>
      </w: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固定资产总额6.54万元，其中，房屋建筑物0万元，车辆0万元，办公设备6.54万元，专用设备0万元，其他资产0万元。车辆共有0辆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其中：一般公务用车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我部门无负责管理的专项转移支付项目。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2022年我单位按照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区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金融部门监管支出：反映金融部门监管支出。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29A9"/>
    <w:multiLevelType w:val="multilevel"/>
    <w:tmpl w:val="1BCC29A9"/>
    <w:lvl w:ilvl="0" w:tentative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5055A7D"/>
    <w:multiLevelType w:val="multilevel"/>
    <w:tmpl w:val="55055A7D"/>
    <w:lvl w:ilvl="0" w:tentative="0">
      <w:start w:val="9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hMmVhOTcxOWQ0ZTk1MTk3NTY0NjE1Njg5NDhiNjYifQ=="/>
  </w:docVars>
  <w:rsids>
    <w:rsidRoot w:val="004B0139"/>
    <w:rsid w:val="00153696"/>
    <w:rsid w:val="0015700F"/>
    <w:rsid w:val="002C1FEC"/>
    <w:rsid w:val="00382995"/>
    <w:rsid w:val="003D5985"/>
    <w:rsid w:val="003E4916"/>
    <w:rsid w:val="003F044A"/>
    <w:rsid w:val="00441F2A"/>
    <w:rsid w:val="004B0139"/>
    <w:rsid w:val="006D00C0"/>
    <w:rsid w:val="006F5B4A"/>
    <w:rsid w:val="007E486D"/>
    <w:rsid w:val="008B03B5"/>
    <w:rsid w:val="00943AE2"/>
    <w:rsid w:val="00966D2B"/>
    <w:rsid w:val="009C3FCB"/>
    <w:rsid w:val="00A26503"/>
    <w:rsid w:val="00AF3883"/>
    <w:rsid w:val="00B1612C"/>
    <w:rsid w:val="00C144CD"/>
    <w:rsid w:val="00EB5D30"/>
    <w:rsid w:val="00F94695"/>
    <w:rsid w:val="00F97BE0"/>
    <w:rsid w:val="1377657B"/>
    <w:rsid w:val="2291266B"/>
    <w:rsid w:val="2ED046D2"/>
    <w:rsid w:val="30ED535A"/>
    <w:rsid w:val="5E1D250E"/>
    <w:rsid w:val="71A109D3"/>
    <w:rsid w:val="793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3120</Words>
  <Characters>3360</Characters>
  <Lines>22</Lines>
  <Paragraphs>6</Paragraphs>
  <TotalTime>21</TotalTime>
  <ScaleCrop>false</ScaleCrop>
  <LinksUpToDate>false</LinksUpToDate>
  <CharactersWithSpaces>3383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2022-05-11T02:40:00Z</dcterms:created>
  <dc:creator>lenovo</dc:creator>
  <cp:lastModifiedBy>Administrator</cp:lastModifiedBy>
  <dcterms:modified xsi:type="dcterms:W3CDTF">2023-05-09T01:51:25Z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9A6B9532C82D453487A45B2EA5C93D0A</vt:lpwstr>
  </property>
</Properties>
</file>