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焦作市中站区造店回民学校</w:t>
      </w:r>
    </w:p>
    <w:p>
      <w:pPr>
        <w:jc w:val="center"/>
        <w:rPr>
          <w:rFonts w:eastAsia="黑体"/>
          <w:color w:val="000000"/>
          <w:sz w:val="52"/>
          <w:szCs w:val="52"/>
        </w:rPr>
      </w:pPr>
      <w:r>
        <w:rPr>
          <w:rFonts w:hint="eastAsia" w:eastAsia="黑体"/>
          <w:color w:val="000000"/>
          <w:sz w:val="52"/>
          <w:szCs w:val="52"/>
        </w:rPr>
        <w:t>2022年度</w:t>
      </w:r>
      <w:r>
        <w:rPr>
          <w:rFonts w:hint="eastAsia" w:eastAsia="黑体"/>
          <w:color w:val="000000"/>
          <w:sz w:val="52"/>
          <w:szCs w:val="52"/>
          <w:lang w:eastAsia="zh-CN"/>
        </w:rPr>
        <w:t>单位</w:t>
      </w:r>
      <w:r>
        <w:rPr>
          <w:rFonts w:hint="eastAsia" w:eastAsia="黑体"/>
          <w:color w:val="000000"/>
          <w:sz w:val="52"/>
          <w:szCs w:val="52"/>
        </w:rPr>
        <w:t>预算</w:t>
      </w: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jc w:val="center"/>
        <w:rPr>
          <w:rFonts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 w:cs="方正小标宋简体"/>
          <w:color w:val="000000"/>
          <w:sz w:val="44"/>
          <w:szCs w:val="44"/>
        </w:rPr>
      </w:pPr>
      <w:r>
        <w:rPr>
          <w:rFonts w:hint="eastAsia" w:eastAsia="黑体" w:cs="方正小标宋简体"/>
          <w:color w:val="000000"/>
          <w:sz w:val="32"/>
          <w:szCs w:val="32"/>
        </w:rPr>
        <w:t>二○二二年五月</w:t>
      </w:r>
    </w:p>
    <w:p>
      <w:pPr>
        <w:overflowPunct w:val="0"/>
        <w:adjustRightInd w:val="0"/>
        <w:snapToGrid w:val="0"/>
        <w:spacing w:line="550" w:lineRule="exact"/>
        <w:ind w:left="-142" w:right="51" w:firstLine="30" w:firstLineChars="7"/>
        <w:jc w:val="center"/>
        <w:rPr>
          <w:rFonts w:eastAsia="方正小标宋简体" w:cs="仿宋_GB2312"/>
          <w:color w:val="000000"/>
          <w:sz w:val="44"/>
          <w:szCs w:val="44"/>
        </w:rPr>
      </w:pPr>
      <w:r>
        <w:rPr>
          <w:rFonts w:hint="eastAsia" w:eastAsia="方正小标宋简体" w:cs="仿宋_GB2312"/>
          <w:color w:val="000000"/>
          <w:sz w:val="44"/>
          <w:szCs w:val="44"/>
        </w:rPr>
        <w:br w:type="page"/>
      </w:r>
      <w:r>
        <w:rPr>
          <w:rFonts w:hint="eastAsia" w:eastAsia="方正小标宋简体" w:cs="仿宋_GB2312"/>
          <w:color w:val="000000"/>
          <w:sz w:val="44"/>
          <w:szCs w:val="44"/>
        </w:rPr>
        <w:t xml:space="preserve">目 </w:t>
      </w:r>
      <w:r>
        <w:rPr>
          <w:rFonts w:hint="eastAsia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eastAsia="方正小标宋简体" w:cs="仿宋_GB2312"/>
          <w:color w:val="000000"/>
          <w:sz w:val="44"/>
          <w:szCs w:val="44"/>
        </w:rPr>
        <w:t>录</w:t>
      </w: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b/>
          <w:bCs/>
          <w:color w:val="000000"/>
          <w:sz w:val="32"/>
          <w:szCs w:val="32"/>
        </w:rPr>
      </w:pPr>
    </w:p>
    <w:p>
      <w:pPr>
        <w:overflowPunct w:val="0"/>
        <w:adjustRightInd w:val="0"/>
        <w:snapToGrid w:val="0"/>
        <w:spacing w:line="550" w:lineRule="exact"/>
        <w:ind w:right="3569" w:firstLine="643" w:firstLineChars="200"/>
        <w:rPr>
          <w:rFonts w:eastAsia="仿宋_GB2312" w:cs="仿宋_GB2312"/>
          <w:w w:val="99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eastAsia="仿宋_GB2312" w:cs="仿宋_GB2312"/>
          <w:w w:val="99"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一、主要职能</w:t>
      </w:r>
    </w:p>
    <w:p>
      <w:pPr>
        <w:overflowPunct w:val="0"/>
        <w:adjustRightInd w:val="0"/>
        <w:snapToGrid w:val="0"/>
        <w:spacing w:line="550" w:lineRule="exact"/>
        <w:ind w:right="3569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二、部门预算单位构成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第二部分 焦作市中站区造店回民学校2022年</w:t>
      </w:r>
      <w:r>
        <w:rPr>
          <w:rFonts w:hint="eastAsia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eastAsia="仿宋_GB2312" w:cs="仿宋_GB2312"/>
          <w:b/>
          <w:bCs/>
          <w:sz w:val="32"/>
          <w:szCs w:val="32"/>
        </w:rPr>
        <w:t>预算情况说明</w:t>
      </w:r>
    </w:p>
    <w:p>
      <w:pPr>
        <w:overflowPunct w:val="0"/>
        <w:adjustRightInd w:val="0"/>
        <w:snapToGrid w:val="0"/>
        <w:spacing w:line="550" w:lineRule="exact"/>
        <w:ind w:right="521" w:firstLine="643" w:firstLineChars="200"/>
        <w:rPr>
          <w:rFonts w:eastAsia="仿宋_GB2312" w:cs="仿宋_GB2312"/>
          <w:b/>
          <w:bCs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</w:rPr>
        <w:t>第三部分 名词解释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附件：</w:t>
      </w:r>
      <w:r>
        <w:rPr>
          <w:rFonts w:hint="eastAsia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b/>
          <w:bCs/>
          <w:sz w:val="32"/>
          <w:szCs w:val="32"/>
        </w:rPr>
        <w:t>焦作市中站区造店回民学校</w:t>
      </w:r>
      <w:r>
        <w:rPr>
          <w:rFonts w:hint="eastAsia" w:eastAsia="仿宋_GB2312" w:cs="仿宋_GB2312"/>
          <w:sz w:val="32"/>
          <w:szCs w:val="32"/>
        </w:rPr>
        <w:t>2022年度</w:t>
      </w:r>
      <w:r>
        <w:rPr>
          <w:rFonts w:hint="eastAsia" w:eastAsia="仿宋_GB2312" w:cs="仿宋_GB2312"/>
          <w:sz w:val="32"/>
          <w:szCs w:val="32"/>
          <w:lang w:eastAsia="zh-CN"/>
        </w:rPr>
        <w:t>单位</w:t>
      </w:r>
      <w:r>
        <w:rPr>
          <w:rFonts w:hint="eastAsia" w:eastAsia="仿宋_GB2312" w:cs="仿宋_GB2312"/>
          <w:sz w:val="32"/>
          <w:szCs w:val="32"/>
        </w:rPr>
        <w:t>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一、部门收支预算表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二、部门收入预算表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三、部门支出预算表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四、财政拨款收支预算表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五、一般公共预算支出预算表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六、一般公共预算基本支出预算表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七、一般公共预算基本支出明细表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八、支出经济分类汇总表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九、一般公共预算“三公”经费预算表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十、政府性基金支出预算表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十一、国有资本经营支出预算表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十二、项目支出预算表</w:t>
      </w:r>
    </w:p>
    <w:p>
      <w:pPr>
        <w:overflowPunct w:val="0"/>
        <w:adjustRightInd w:val="0"/>
        <w:snapToGrid w:val="0"/>
        <w:spacing w:line="550" w:lineRule="exact"/>
        <w:ind w:right="51" w:firstLine="960" w:firstLineChars="3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十三、行政（事业）单位机构运行经费</w:t>
      </w:r>
    </w:p>
    <w:p>
      <w:pPr>
        <w:overflowPunct w:val="0"/>
        <w:adjustRightInd w:val="0"/>
        <w:snapToGrid w:val="0"/>
        <w:spacing w:line="550" w:lineRule="exact"/>
        <w:ind w:firstLine="940" w:firstLineChars="294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十四、本级部门预算项目绩效目标表</w:t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br w:type="page"/>
      </w:r>
    </w:p>
    <w:p>
      <w:pPr>
        <w:overflowPunct w:val="0"/>
        <w:adjustRightInd w:val="0"/>
        <w:snapToGrid w:val="0"/>
        <w:spacing w:line="550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第一部分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ascii="黑体" w:hAnsi="黑体" w:eastAsia="黑体" w:cs="仿宋_GB2312"/>
          <w:color w:val="000000"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焦作市中站区造店回民学校</w:t>
      </w:r>
      <w:r>
        <w:rPr>
          <w:rFonts w:hint="eastAsia" w:ascii="黑体" w:hAnsi="黑体" w:eastAsia="黑体" w:cs="仿宋_GB2312"/>
          <w:bCs/>
          <w:color w:val="000000"/>
          <w:sz w:val="36"/>
          <w:szCs w:val="36"/>
        </w:rPr>
        <w:t>概况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jc w:val="center"/>
        <w:rPr>
          <w:rFonts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主要职能</w:t>
      </w:r>
    </w:p>
    <w:p>
      <w:pPr>
        <w:pStyle w:val="7"/>
        <w:numPr>
          <w:ilvl w:val="0"/>
          <w:numId w:val="2"/>
        </w:numPr>
        <w:shd w:val="clear" w:color="auto" w:fill="FFFFFF"/>
        <w:spacing w:before="0" w:beforeAutospacing="0" w:after="0" w:afterAutospacing="0" w:line="560" w:lineRule="atLeast"/>
        <w:ind w:left="640" w:firstLine="321" w:firstLineChars="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机构设置情况</w:t>
      </w:r>
      <w:r>
        <w:rPr>
          <w:rFonts w:hint="eastAsia"/>
          <w:color w:val="000000"/>
          <w:sz w:val="32"/>
          <w:szCs w:val="32"/>
        </w:rPr>
        <w:br w:type="textWrapping"/>
      </w:r>
      <w:r>
        <w:rPr>
          <w:rFonts w:hint="eastAsia"/>
          <w:color w:val="000000"/>
          <w:sz w:val="32"/>
          <w:szCs w:val="32"/>
        </w:rPr>
        <w:t> </w:t>
      </w:r>
      <w:r>
        <w:rPr>
          <w:rFonts w:hint="eastAsia" w:ascii="仿宋_GB2312" w:eastAsia="仿宋_GB2312"/>
          <w:color w:val="000000"/>
          <w:sz w:val="32"/>
          <w:szCs w:val="32"/>
        </w:rPr>
        <w:t>焦作市中站区造店回民学校，设有小学1--6年级教学</w:t>
      </w:r>
    </w:p>
    <w:p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560" w:lineRule="atLeast"/>
        <w:ind w:leftChars="100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班6个，在校学生200人。教职工编制人数28人，实有教职工24人。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（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）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部门</w:t>
      </w:r>
      <w:r>
        <w:rPr>
          <w:rFonts w:hint="eastAsia"/>
          <w:b/>
          <w:bCs/>
          <w:color w:val="000000"/>
          <w:sz w:val="32"/>
          <w:szCs w:val="32"/>
        </w:rPr>
        <w:t>职责</w:t>
      </w:r>
      <w:r>
        <w:rPr>
          <w:rFonts w:hint="eastAsia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焦作市中站区造店回民学校位于丰收路府城办事处造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rPr>
          <w:rFonts w:ascii="仿宋_GB2312" w:hAnsi="微软雅黑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店村，属财政全供的行政单位。焦作市中站区造店回民学校的主要职能是：贯彻落实中央及省、市、区有关教育工作的方针、政策，进行调查研究总结推广先进经验；组织教育教学、科学研究活动，保证教育教学质量。维护教职工利益，保障教职工合法权益，以教职工和学生的人生幸福和生命质量作为重；教育事业计划统计，教育经费预算、决算等；检查督促教学计划、教学大纲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 w:cs="仿宋_GB2312"/>
          <w:color w:val="000000"/>
          <w:sz w:val="32"/>
          <w:szCs w:val="32"/>
        </w:rPr>
      </w:pPr>
      <w:r>
        <w:rPr>
          <w:rFonts w:hint="eastAsia" w:eastAsia="黑体" w:cs="仿宋_GB2312"/>
          <w:color w:val="000000"/>
          <w:sz w:val="32"/>
          <w:szCs w:val="32"/>
        </w:rPr>
        <w:t>二、焦作市中站区造店回民学校部门预算单位构成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仿宋_GB2312" w:hAnsi="微软雅黑" w:eastAsia="仿宋_GB2312"/>
          <w:color w:val="000000"/>
          <w:sz w:val="27"/>
          <w:szCs w:val="27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焦作市中站区造店回民学校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第二部分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 w:cs="仿宋_GB2312"/>
          <w:bCs/>
          <w:color w:val="000000"/>
          <w:sz w:val="36"/>
          <w:szCs w:val="36"/>
        </w:rPr>
      </w:pPr>
      <w:r>
        <w:rPr>
          <w:rFonts w:hint="eastAsia" w:eastAsia="黑体" w:cs="仿宋_GB2312"/>
          <w:bCs/>
          <w:color w:val="000000"/>
          <w:sz w:val="36"/>
          <w:szCs w:val="36"/>
        </w:rPr>
        <w:t>焦作市中站区造店回民学校2022年度部门预算情况说明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一、收入支出预算总体情况说明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Arial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焦作市中站区造店回民学校2022年收入总计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万元，支出总计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万元，与2021年相比，收、支总计各增加</w:t>
      </w:r>
      <w:r>
        <w:rPr>
          <w:rFonts w:hint="eastAsia" w:eastAsia="仿宋_GB2312" w:cs="Arial"/>
          <w:color w:val="000000"/>
          <w:sz w:val="32"/>
          <w:szCs w:val="32"/>
        </w:rPr>
        <w:t>76.78</w:t>
      </w:r>
      <w:r>
        <w:rPr>
          <w:rFonts w:hint="eastAsia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</w:rPr>
        <w:t>25.17</w:t>
      </w:r>
      <w:r>
        <w:rPr>
          <w:rFonts w:hint="eastAsia" w:eastAsia="仿宋_GB2312" w:cs="仿宋_GB2312"/>
          <w:color w:val="000000"/>
          <w:sz w:val="32"/>
          <w:szCs w:val="32"/>
        </w:rPr>
        <w:t>%。主要原因：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2022年开始，人员收入支出增加</w:t>
      </w:r>
      <w:r>
        <w:rPr>
          <w:rFonts w:hint="eastAsia" w:eastAsia="仿宋_GB2312" w:cs="Arial"/>
          <w:color w:val="000000"/>
          <w:sz w:val="32"/>
          <w:szCs w:val="32"/>
        </w:rPr>
        <w:t xml:space="preserve">。 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二、收入预算总体情况说明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74" w:lineRule="exact"/>
        <w:ind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焦作市中站区造店回民学校2022年收入合计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万元，其中：一般公共预算收入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万元; 政府性基金预算收入</w:t>
      </w:r>
      <w:r>
        <w:rPr>
          <w:rFonts w:hint="eastAsia" w:eastAsia="仿宋_GB2312" w:cs="Arial"/>
          <w:color w:val="00000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万元；国有资本经营预算收</w:t>
      </w:r>
      <w:r>
        <w:rPr>
          <w:rFonts w:hint="eastAsia" w:eastAsia="仿宋_GB2312" w:cs="仿宋_GB2312"/>
          <w:color w:val="000000"/>
          <w:spacing w:val="6"/>
          <w:sz w:val="32"/>
          <w:szCs w:val="32"/>
        </w:rPr>
        <w:t>入</w:t>
      </w:r>
      <w:r>
        <w:rPr>
          <w:rFonts w:hint="eastAsia" w:eastAsia="仿宋_GB2312" w:cs="Arial"/>
          <w:color w:val="000000"/>
          <w:spacing w:val="6"/>
          <w:sz w:val="32"/>
          <w:szCs w:val="32"/>
        </w:rPr>
        <w:t>0万元；财政专户管理资金收入0万元；其他收入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0万元</w:t>
      </w:r>
      <w:r>
        <w:rPr>
          <w:rFonts w:hint="eastAsia" w:eastAsia="仿宋_GB2312" w:cs="Arial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焦作市中站区造店回民学校2022年支出合计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万元，其中：基本支出</w:t>
      </w:r>
      <w:r>
        <w:rPr>
          <w:rFonts w:hint="eastAsia" w:eastAsia="仿宋_GB2312" w:cs="Arial"/>
          <w:color w:val="000000"/>
          <w:sz w:val="32"/>
          <w:szCs w:val="32"/>
        </w:rPr>
        <w:t>355.91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93.22%</w:t>
      </w:r>
      <w:r>
        <w:rPr>
          <w:rFonts w:hint="eastAsia" w:eastAsia="仿宋_GB2312" w:cs="仿宋_GB2312"/>
          <w:color w:val="000000"/>
          <w:sz w:val="32"/>
          <w:szCs w:val="32"/>
        </w:rPr>
        <w:t>；项目支出</w:t>
      </w:r>
      <w:r>
        <w:rPr>
          <w:rFonts w:hint="eastAsia" w:eastAsia="仿宋_GB2312" w:cs="Arial"/>
          <w:color w:val="000000"/>
          <w:sz w:val="32"/>
          <w:szCs w:val="32"/>
        </w:rPr>
        <w:t>25.89</w:t>
      </w:r>
      <w:r>
        <w:rPr>
          <w:rFonts w:hint="eastAsia" w:eastAsia="仿宋_GB2312" w:cs="仿宋_GB2312"/>
          <w:color w:val="000000"/>
          <w:sz w:val="32"/>
          <w:szCs w:val="32"/>
        </w:rPr>
        <w:t>万元，占</w:t>
      </w:r>
      <w:r>
        <w:rPr>
          <w:rFonts w:hint="eastAsia" w:eastAsia="仿宋_GB2312" w:cs="Arial"/>
          <w:color w:val="000000"/>
          <w:sz w:val="32"/>
          <w:szCs w:val="32"/>
        </w:rPr>
        <w:t>6.78</w:t>
      </w:r>
      <w:r>
        <w:rPr>
          <w:rFonts w:hint="eastAsia" w:eastAsia="仿宋_GB2312" w:cs="仿宋_GB2312"/>
          <w:color w:val="000000"/>
          <w:sz w:val="32"/>
          <w:szCs w:val="32"/>
        </w:rPr>
        <w:t xml:space="preserve">%。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四、财政拨款收入支出预算总体情况说明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焦作市中站区造店回民学校2022年一般公共预算收支预算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</w:t>
      </w:r>
      <w:r>
        <w:rPr>
          <w:rFonts w:hint="eastAsia" w:eastAsia="仿宋_GB2312" w:cs="Arial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>与 2021年相比，一般公共预算收支预算增加</w:t>
      </w:r>
      <w:r>
        <w:rPr>
          <w:rFonts w:hint="eastAsia" w:eastAsia="仿宋_GB2312" w:cs="Arial"/>
          <w:color w:val="000000"/>
          <w:sz w:val="32"/>
          <w:szCs w:val="32"/>
        </w:rPr>
        <w:t>76.78</w:t>
      </w:r>
      <w:r>
        <w:rPr>
          <w:rFonts w:hint="eastAsia" w:eastAsia="仿宋_GB2312" w:cs="仿宋_GB2312"/>
          <w:color w:val="000000"/>
          <w:sz w:val="32"/>
          <w:szCs w:val="32"/>
        </w:rPr>
        <w:t>万元，增长</w:t>
      </w:r>
      <w:r>
        <w:rPr>
          <w:rFonts w:hint="eastAsia" w:eastAsia="仿宋_GB2312" w:cs="Arial"/>
          <w:color w:val="000000"/>
          <w:sz w:val="32"/>
          <w:szCs w:val="32"/>
        </w:rPr>
        <w:t>25.17</w:t>
      </w:r>
      <w:r>
        <w:rPr>
          <w:rFonts w:hint="eastAsia" w:eastAsia="仿宋_GB2312" w:cs="仿宋_GB2312"/>
          <w:color w:val="000000"/>
          <w:sz w:val="32"/>
          <w:szCs w:val="32"/>
        </w:rPr>
        <w:t>%，主要原因：</w:t>
      </w:r>
      <w:r>
        <w:rPr>
          <w:rFonts w:hint="eastAsia" w:ascii="仿宋_GB2312" w:eastAsia="仿宋_GB2312"/>
          <w:color w:val="000000"/>
          <w:sz w:val="32"/>
          <w:szCs w:val="32"/>
        </w:rPr>
        <w:t>人员收入支出增加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政府性基金收支预算增加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Times New Roman" w:hAnsi="Times New Roman" w:eastAsia="仿宋_GB2312" w:cs="Arial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五、一般公共预算支出预算情况说明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spacing w:val="6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焦作市中站区造店回民学校2022年一般公共预算支出年初预算为</w:t>
      </w:r>
      <w:r>
        <w:rPr>
          <w:rFonts w:hint="eastAsia" w:eastAsia="仿宋_GB2312" w:cs="Arial"/>
          <w:color w:val="00000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万元。主要用于以下方面：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教育支出303.82万元，占79.58%；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社会保障和就业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支出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  <w:lang w:val="en-US" w:eastAsia="zh-CN"/>
        </w:rPr>
        <w:t>46.99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万元，占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>12.31</w:t>
      </w:r>
      <w:r>
        <w:rPr>
          <w:rFonts w:hint="eastAsia" w:eastAsia="仿宋_GB2312" w:cs="仿宋_GB2312"/>
          <w:color w:val="auto"/>
          <w:spacing w:val="6"/>
          <w:kern w:val="0"/>
          <w:sz w:val="32"/>
          <w:szCs w:val="32"/>
        </w:rPr>
        <w:t>%；</w:t>
      </w:r>
      <w:r>
        <w:rPr>
          <w:rFonts w:hint="eastAsia" w:eastAsia="仿宋_GB2312" w:cs="仿宋_GB2312"/>
          <w:color w:val="000000"/>
          <w:spacing w:val="6"/>
          <w:kern w:val="0"/>
          <w:sz w:val="32"/>
          <w:szCs w:val="32"/>
        </w:rPr>
        <w:t>医疗卫生与计划生育支出11.92万元，占3.12%；住房保障支出19.07万元，占4.99%。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22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焦作市中站区造店回民学校2022年一般公共预算基本支出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355.91</w:t>
      </w:r>
      <w:r>
        <w:rPr>
          <w:rFonts w:hint="eastAsia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eastAsia="仿宋_GB2312" w:cs="仿宋_GB2312"/>
          <w:b/>
          <w:color w:val="000000"/>
          <w:spacing w:val="-1"/>
          <w:kern w:val="0"/>
          <w:sz w:val="32"/>
          <w:szCs w:val="32"/>
        </w:rPr>
        <w:t>人员经费334.</w:t>
      </w:r>
      <w:r>
        <w:rPr>
          <w:rFonts w:hint="eastAsia" w:eastAsia="仿宋_GB2312" w:cs="仿宋_GB2312"/>
          <w:b/>
          <w:color w:val="000000"/>
          <w:spacing w:val="-1"/>
          <w:kern w:val="0"/>
          <w:sz w:val="32"/>
          <w:szCs w:val="32"/>
          <w:lang w:val="en-US" w:eastAsia="zh-CN"/>
        </w:rPr>
        <w:t>95</w:t>
      </w:r>
      <w:r>
        <w:rPr>
          <w:rFonts w:hint="eastAsia" w:eastAsia="仿宋_GB2312" w:cs="仿宋_GB2312"/>
          <w:b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</w:rPr>
        <w:t>，主要包括：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基本工资104.91万元、津贴补贴35.4万元、奖金56.14万元、绩效工资53.79万元、机关事业单位基本养老保险缴费25.43万元、职业年金缴费17.48万元、医疗保险缴费11.92万元、其他社会保障缴费0.32万元、住房公积金19.07万元、退休费10.49万元；</w:t>
      </w: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</w:rPr>
        <w:t>公用经费20.96万元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，主要包括：办公费3.4万元、电费2.8万元、邮电费0.8万元、维修（护）费2.5万元、培训费2.1万元、公务接待费0.01万元、专用材料费0.2万元、福利费3.97万元、办公设备购置1.1万元、专用设备购置0.9万元、工会经费3.18万元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left="638" w:leftChars="304" w:firstLine="0" w:firstLineChars="0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我单位2022年没有使用政府性基金预算拨款安排的支出。</w:t>
      </w:r>
      <w:r>
        <w:rPr>
          <w:rFonts w:hint="eastAsia" w:eastAsia="黑体"/>
          <w:color w:val="000000"/>
          <w:sz w:val="32"/>
          <w:szCs w:val="32"/>
        </w:rPr>
        <w:t>八、</w:t>
      </w:r>
      <w:r>
        <w:rPr>
          <w:rFonts w:hint="eastAsia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我单位2022年没有使用国有资本经营预算拨款安排的支出。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焦作市中站区造店回民学校2022年“三公”经费支出预算为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0.01</w:t>
      </w:r>
      <w:r>
        <w:rPr>
          <w:rFonts w:hint="eastAsia" w:eastAsia="仿宋_GB2312" w:cs="仿宋_GB2312"/>
          <w:color w:val="000000"/>
          <w:sz w:val="32"/>
          <w:szCs w:val="32"/>
        </w:rPr>
        <w:t>万元， 与 2021年预算数相比无增减。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楷体_GB2312" w:cs="仿宋_GB2312"/>
          <w:color w:val="00000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万元。与 2021年预算数相比无增减。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公务用车购置及运行费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0万</w:t>
      </w:r>
      <w:r>
        <w:rPr>
          <w:rFonts w:hint="eastAsia" w:eastAsia="仿宋_GB2312" w:cs="仿宋_GB2312"/>
          <w:color w:val="000000"/>
          <w:sz w:val="32"/>
          <w:szCs w:val="32"/>
        </w:rPr>
        <w:t>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与2021年相比无增减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line="574" w:lineRule="exact"/>
        <w:ind w:firstLine="636" w:firstLineChars="200"/>
        <w:rPr>
          <w:rFonts w:hint="eastAsia" w:eastAsia="黑体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spacing w:val="-1"/>
          <w:kern w:val="0"/>
          <w:sz w:val="32"/>
          <w:szCs w:val="32"/>
        </w:rPr>
        <w:t>公务接待费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0.01</w:t>
      </w:r>
      <w:r>
        <w:rPr>
          <w:rFonts w:hint="eastAsia" w:eastAsia="仿宋_GB2312" w:cs="仿宋_GB2312"/>
          <w:color w:val="000000"/>
          <w:sz w:val="32"/>
          <w:szCs w:val="32"/>
        </w:rPr>
        <w:t>万元，</w:t>
      </w:r>
      <w:r>
        <w:rPr>
          <w:rFonts w:hint="eastAsia" w:eastAsia="仿宋_GB2312" w:cs="仿宋_GB2312"/>
          <w:color w:val="000000"/>
          <w:sz w:val="32"/>
          <w:szCs w:val="32"/>
          <w:lang w:val="en-US" w:eastAsia="zh-CN"/>
        </w:rPr>
        <w:t>主要用于日常公务接待，</w:t>
      </w:r>
      <w:r>
        <w:rPr>
          <w:rFonts w:hint="eastAsia" w:eastAsia="仿宋_GB2312" w:cs="仿宋_GB2312"/>
          <w:color w:val="000000"/>
          <w:sz w:val="32"/>
          <w:szCs w:val="32"/>
        </w:rPr>
        <w:t>与 2021年预算数相比无增减。</w:t>
      </w:r>
      <w:r>
        <w:rPr>
          <w:rFonts w:hint="eastAsia" w:eastAsia="黑体"/>
          <w:color w:val="000000"/>
          <w:kern w:val="0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4" w:lineRule="exact"/>
        <w:ind w:leftChars="200" w:firstLine="318" w:firstLineChars="100"/>
        <w:outlineLvl w:val="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（一）机构运行经费支出情况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2022年办公费经费支出预算13.81万元，主要保障机关机构正常运转及正常履职需要的办公费、水电费、物业费、维修费、差旅费等支出，比2021年减少0.33万元，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下降2.33%，</w:t>
      </w:r>
      <w:r>
        <w:rPr>
          <w:rFonts w:hint="eastAsia" w:ascii="仿宋_GB2312" w:eastAsia="仿宋_GB2312"/>
          <w:color w:val="000000"/>
          <w:sz w:val="32"/>
          <w:szCs w:val="32"/>
        </w:rPr>
        <w:t>主要原因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>压缩办公经费支出。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pStyle w:val="7"/>
        <w:shd w:val="clear" w:color="auto" w:fill="FFFFFF"/>
        <w:spacing w:before="0" w:beforeAutospacing="0" w:after="0" w:afterAutospacing="0" w:line="560" w:lineRule="atLeast"/>
        <w:ind w:firstLine="640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我单位2022年没有安排政府采购</w:t>
      </w:r>
      <w:r>
        <w:rPr>
          <w:rFonts w:hint="eastAsia"/>
          <w:color w:val="00000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outlineLvl w:val="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40" w:firstLineChars="200"/>
        <w:textAlignment w:val="auto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2022年焦作市中站区造店回民学校</w:t>
      </w:r>
      <w:r>
        <w:rPr>
          <w:rFonts w:eastAsia="仿宋_GB2312" w:cs="仿宋_GB2312"/>
          <w:color w:val="000000"/>
          <w:sz w:val="32"/>
          <w:szCs w:val="32"/>
        </w:rPr>
        <w:t>按要求编制了绩效目标，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包括部门（单位）整体绩效目标和项目支出绩效目标，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综合反映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了部门（单位）及各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项目预期完成的数量、实效、质量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，产生的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社会经济效益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和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服务对象满意度等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情况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eastAsia="仿宋_GB2312" w:cs="仿宋_GB2312"/>
          <w:color w:val="000000"/>
          <w:sz w:val="32"/>
          <w:szCs w:val="32"/>
        </w:rPr>
        <w:t>2022年，我单位纳入预算绩效管理的支出总额为</w:t>
      </w:r>
      <w:r>
        <w:rPr>
          <w:rFonts w:hint="eastAsia" w:cs="宋体"/>
          <w:color w:val="000000"/>
          <w:kern w:val="0"/>
          <w:sz w:val="24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381.8</w:t>
      </w:r>
      <w:r>
        <w:rPr>
          <w:rFonts w:hint="eastAsia" w:eastAsia="仿宋_GB2312" w:cs="仿宋_GB2312"/>
          <w:color w:val="000000"/>
          <w:sz w:val="32"/>
          <w:szCs w:val="32"/>
        </w:rPr>
        <w:t>万元。其中：人员经费支出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334.9</w:t>
      </w: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color w:val="000000"/>
          <w:sz w:val="32"/>
          <w:szCs w:val="32"/>
        </w:rPr>
        <w:t>万元；公用经费支出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20.96</w:t>
      </w:r>
      <w:r>
        <w:rPr>
          <w:rFonts w:hint="eastAsia" w:eastAsia="仿宋_GB2312" w:cs="仿宋_GB2312"/>
          <w:color w:val="000000"/>
          <w:sz w:val="32"/>
          <w:szCs w:val="32"/>
        </w:rPr>
        <w:t>万元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项目支出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25.89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万元，涉及项目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个。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bCs/>
          <w:color w:val="000000"/>
          <w:sz w:val="32"/>
          <w:szCs w:val="32"/>
        </w:rPr>
      </w:pPr>
      <w:r>
        <w:rPr>
          <w:rFonts w:hint="eastAsia" w:eastAsia="楷体_GB2312" w:cs="仿宋_GB2312"/>
          <w:bCs/>
          <w:color w:val="000000"/>
          <w:sz w:val="32"/>
          <w:szCs w:val="32"/>
        </w:rPr>
        <w:t>（四）国有资产占用情况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2021年期末，</w:t>
      </w:r>
      <w:r>
        <w:rPr>
          <w:rFonts w:hint="eastAsia" w:eastAsia="仿宋_GB2312" w:cs="仿宋_GB2312"/>
          <w:color w:val="000000"/>
          <w:sz w:val="32"/>
          <w:szCs w:val="32"/>
        </w:rPr>
        <w:t>焦作市中站区造店回民学校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固定资产总额322.55万元，其中，房屋建筑物171.49万元，车辆0万元，办公设备101.32万元，专用设备27.82万元，其他资产21.92万元。车辆共有0辆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其中：一般公务用车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辆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0</w:t>
      </w:r>
      <w:r>
        <w:rPr>
          <w:rFonts w:hint="eastAsia" w:eastAsia="仿宋_GB2312" w:cs="仿宋_GB2312"/>
          <w:color w:val="000000"/>
          <w:sz w:val="32"/>
          <w:szCs w:val="32"/>
        </w:rPr>
        <w:t>台（套）。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（五）专项转移支付项目情况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我单位负责管理的专项转移支付项目共有0项。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楷体_GB2312" w:cs="仿宋_GB2312"/>
          <w:color w:val="000000"/>
          <w:kern w:val="0"/>
          <w:sz w:val="32"/>
          <w:szCs w:val="32"/>
        </w:rPr>
      </w:pPr>
      <w:r>
        <w:rPr>
          <w:rFonts w:hint="eastAsia" w:eastAsia="楷体_GB2312" w:cs="仿宋_GB2312"/>
          <w:color w:val="000000"/>
          <w:kern w:val="0"/>
          <w:sz w:val="32"/>
          <w:szCs w:val="32"/>
        </w:rPr>
        <w:t>（六）关于预算部门构成说明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2022年我单位按照</w:t>
      </w:r>
      <w:r>
        <w:rPr>
          <w:rFonts w:hint="eastAsia" w:eastAsia="仿宋_GB2312" w:cs="仿宋_GB2312"/>
          <w:color w:val="000000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eastAsia="仿宋_GB2312" w:cs="仿宋_GB2312"/>
          <w:color w:val="000000"/>
          <w:sz w:val="32"/>
          <w:szCs w:val="32"/>
        </w:rPr>
        <w:t>财政预算公开要求，将所属预算单位全部纳入预算公开范围。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</w:rPr>
        <w:t>第三部分  名词解释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Courier New"/>
          <w:color w:val="000000"/>
          <w:sz w:val="32"/>
          <w:szCs w:val="32"/>
        </w:rPr>
        <w:t>七、行政（事业）单位机构运行经费：是指为保障行政（事业）单位</w:t>
      </w:r>
      <w:r>
        <w:rPr>
          <w:rFonts w:hint="eastAsia" w:eastAsia="仿宋_GB2312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eastAsia="仿宋_GB2312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eastAsia="仿宋_GB2312" w:cs="仿宋_GB2312"/>
          <w:color w:val="000000"/>
          <w:sz w:val="32"/>
          <w:szCs w:val="32"/>
        </w:rPr>
        <w:t>等支出。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ind w:firstLine="640" w:firstLineChars="200"/>
        <w:rPr>
          <w:rFonts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八、教育支出：反映政府教育事务支出。</w:t>
      </w:r>
    </w:p>
    <w:p>
      <w:pPr>
        <w:overflowPunct w:val="0"/>
        <w:autoSpaceDE w:val="0"/>
        <w:autoSpaceDN w:val="0"/>
        <w:adjustRightInd w:val="0"/>
        <w:snapToGrid w:val="0"/>
        <w:spacing w:line="574" w:lineRule="exact"/>
        <w:jc w:val="left"/>
        <w:rPr>
          <w:rFonts w:eastAsia="仿宋_GB2312" w:cs="仿宋_GB2312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640"/>
      </w:pPr>
    </w:p>
    <w:p>
      <w:pPr>
        <w:spacing w:line="560" w:lineRule="exact"/>
        <w:jc w:val="center"/>
        <w:rPr>
          <w:rFonts w:eastAsia="仿宋_GB2312"/>
          <w:b/>
          <w:bCs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pacing w:val="-17"/>
          <w:sz w:val="32"/>
          <w:szCs w:val="32"/>
        </w:rPr>
      </w:pPr>
    </w:p>
    <w:p>
      <w:pPr>
        <w:pStyle w:val="2"/>
        <w:ind w:firstLine="0" w:firstLineChars="0"/>
        <w:sectPr>
          <w:footerReference r:id="rId4" w:type="default"/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</w:pPr>
    </w:p>
    <w:p/>
    <w:sectPr>
      <w:footerReference r:id="rId5" w:type="default"/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3" o:spid="_x0000_s1025" o:spt="202" type="#_x0000_t202" style="position:absolute;left:0pt;margin-left:217.5pt;margin-top:0.7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56"/>
                    <w:szCs w:val="160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2B01"/>
    <w:multiLevelType w:val="singleLevel"/>
    <w:tmpl w:val="14D82B0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37B98EF4"/>
    <w:multiLevelType w:val="singleLevel"/>
    <w:tmpl w:val="37B98EF4"/>
    <w:lvl w:ilvl="0" w:tentative="0">
      <w:start w:val="2"/>
      <w:numFmt w:val="chineseCounting"/>
      <w:suff w:val="nothing"/>
      <w:lvlText w:val="(%1）"/>
      <w:lvlJc w:val="left"/>
      <w:rPr>
        <w:rFonts w:hint="eastAsia"/>
      </w:rPr>
    </w:lvl>
  </w:abstractNum>
  <w:abstractNum w:abstractNumId="2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  <w:rPr>
        <w:rFonts w:ascii="楷体" w:hAnsi="楷体" w:eastAsia="楷体"/>
      </w:rPr>
    </w:lvl>
  </w:abstractNum>
  <w:abstractNum w:abstractNumId="3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hMmVhOTcxOWQ0ZTk1MTk3NTY0NjE1Njg5NDhiNjYifQ=="/>
  </w:docVars>
  <w:rsids>
    <w:rsidRoot w:val="003C039F"/>
    <w:rsid w:val="00087AE8"/>
    <w:rsid w:val="001444DC"/>
    <w:rsid w:val="001871EF"/>
    <w:rsid w:val="001B10C5"/>
    <w:rsid w:val="002467B2"/>
    <w:rsid w:val="003A3CB7"/>
    <w:rsid w:val="003C039F"/>
    <w:rsid w:val="0041747C"/>
    <w:rsid w:val="004F0BF0"/>
    <w:rsid w:val="00614157"/>
    <w:rsid w:val="00710ABC"/>
    <w:rsid w:val="0092520F"/>
    <w:rsid w:val="009716BE"/>
    <w:rsid w:val="00AD715A"/>
    <w:rsid w:val="00D32AE5"/>
    <w:rsid w:val="00D5128D"/>
    <w:rsid w:val="00E863D5"/>
    <w:rsid w:val="00F406F1"/>
    <w:rsid w:val="00F76A6E"/>
    <w:rsid w:val="00FA55CF"/>
    <w:rsid w:val="336F102D"/>
    <w:rsid w:val="3EA4685D"/>
    <w:rsid w:val="4538357C"/>
    <w:rsid w:val="74C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</w:pPr>
    <w:rPr>
      <w:rFonts w:eastAsia="仿宋_GB2312"/>
      <w:sz w:val="32"/>
    </w:rPr>
  </w:style>
  <w:style w:type="paragraph" w:styleId="3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2642</Words>
  <Characters>2980</Characters>
  <Lines>22</Lines>
  <Paragraphs>6</Paragraphs>
  <TotalTime>1</TotalTime>
  <ScaleCrop>false</ScaleCrop>
  <LinksUpToDate>false</LinksUpToDate>
  <CharactersWithSpaces>3016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2022-05-11T23:48:00Z</dcterms:created>
  <dc:creator>Administrator</dc:creator>
  <cp:lastModifiedBy>Administrator</cp:lastModifiedBy>
  <dcterms:modified xsi:type="dcterms:W3CDTF">2023-05-09T02:25:15Z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EFBF77D052CB48D09E0CF35C991E6253</vt:lpwstr>
  </property>
</Properties>
</file>