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 w:cs="宋体"/>
          <w:color w:val="000000"/>
          <w:kern w:val="0"/>
          <w:sz w:val="28"/>
          <w:szCs w:val="28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  <w:r>
        <w:rPr>
          <w:rFonts w:hint="eastAsia" w:eastAsia="黑体"/>
          <w:color w:val="000000"/>
          <w:sz w:val="52"/>
          <w:szCs w:val="52"/>
        </w:rPr>
        <w:t>焦作市中站区朱村中心学校</w:t>
      </w:r>
    </w:p>
    <w:p>
      <w:pPr>
        <w:jc w:val="center"/>
        <w:rPr>
          <w:rFonts w:eastAsia="黑体"/>
          <w:color w:val="000000"/>
          <w:sz w:val="52"/>
          <w:szCs w:val="52"/>
        </w:rPr>
      </w:pPr>
      <w:r>
        <w:rPr>
          <w:rFonts w:hint="eastAsia" w:eastAsia="黑体"/>
          <w:color w:val="000000"/>
          <w:sz w:val="52"/>
          <w:szCs w:val="52"/>
        </w:rPr>
        <w:t>2022年度</w:t>
      </w:r>
      <w:r>
        <w:rPr>
          <w:rFonts w:hint="eastAsia" w:eastAsia="黑体"/>
          <w:color w:val="000000"/>
          <w:sz w:val="52"/>
          <w:szCs w:val="52"/>
          <w:lang w:eastAsia="zh-CN"/>
        </w:rPr>
        <w:t>单位</w:t>
      </w:r>
      <w:r>
        <w:rPr>
          <w:rFonts w:hint="eastAsia" w:eastAsia="黑体"/>
          <w:color w:val="000000"/>
          <w:sz w:val="52"/>
          <w:szCs w:val="52"/>
        </w:rPr>
        <w:t>预算</w:t>
      </w: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adjustRightInd w:val="0"/>
        <w:snapToGrid w:val="0"/>
        <w:spacing w:line="360" w:lineRule="auto"/>
        <w:jc w:val="center"/>
        <w:rPr>
          <w:rFonts w:eastAsia="黑体" w:cs="方正小标宋简体"/>
          <w:color w:val="000000"/>
          <w:sz w:val="44"/>
          <w:szCs w:val="44"/>
        </w:rPr>
      </w:pPr>
      <w:r>
        <w:rPr>
          <w:rFonts w:hint="eastAsia" w:eastAsia="黑体" w:cs="方正小标宋简体"/>
          <w:color w:val="000000"/>
          <w:sz w:val="32"/>
          <w:szCs w:val="32"/>
        </w:rPr>
        <w:t>二○二二年五月</w:t>
      </w:r>
    </w:p>
    <w:p>
      <w:pPr>
        <w:overflowPunct w:val="0"/>
        <w:adjustRightInd w:val="0"/>
        <w:snapToGrid w:val="0"/>
        <w:spacing w:line="550" w:lineRule="exact"/>
        <w:ind w:left="-142" w:right="51" w:firstLine="30" w:firstLineChars="7"/>
        <w:jc w:val="center"/>
        <w:rPr>
          <w:rFonts w:eastAsia="方正小标宋简体" w:cs="仿宋_GB2312"/>
          <w:color w:val="000000"/>
          <w:sz w:val="44"/>
          <w:szCs w:val="44"/>
        </w:rPr>
      </w:pPr>
      <w:r>
        <w:rPr>
          <w:rFonts w:hint="eastAsia" w:eastAsia="方正小标宋简体" w:cs="仿宋_GB2312"/>
          <w:color w:val="000000"/>
          <w:sz w:val="44"/>
          <w:szCs w:val="44"/>
        </w:rPr>
        <w:br w:type="page"/>
      </w:r>
      <w:r>
        <w:rPr>
          <w:rFonts w:hint="eastAsia" w:eastAsia="方正小标宋简体" w:cs="仿宋_GB2312"/>
          <w:color w:val="000000"/>
          <w:sz w:val="44"/>
          <w:szCs w:val="44"/>
        </w:rPr>
        <w:t xml:space="preserve">目 </w:t>
      </w:r>
      <w:r>
        <w:rPr>
          <w:rFonts w:hint="eastAsia" w:eastAsia="方正小标宋简体" w:cs="仿宋_GB2312"/>
          <w:color w:val="000000"/>
          <w:spacing w:val="2"/>
          <w:sz w:val="44"/>
          <w:szCs w:val="44"/>
        </w:rPr>
        <w:t xml:space="preserve"> </w:t>
      </w:r>
      <w:r>
        <w:rPr>
          <w:rFonts w:hint="eastAsia" w:eastAsia="方正小标宋简体" w:cs="仿宋_GB2312"/>
          <w:color w:val="000000"/>
          <w:sz w:val="44"/>
          <w:szCs w:val="44"/>
        </w:rPr>
        <w:t>录</w:t>
      </w:r>
    </w:p>
    <w:p>
      <w:pPr>
        <w:overflowPunct w:val="0"/>
        <w:adjustRightInd w:val="0"/>
        <w:snapToGrid w:val="0"/>
        <w:spacing w:line="550" w:lineRule="exact"/>
        <w:ind w:right="3569" w:firstLine="643" w:firstLineChars="200"/>
        <w:rPr>
          <w:rFonts w:eastAsia="仿宋_GB2312" w:cs="仿宋_GB2312"/>
          <w:b/>
          <w:bCs/>
          <w:color w:val="000000"/>
          <w:sz w:val="32"/>
          <w:szCs w:val="32"/>
        </w:rPr>
      </w:pPr>
    </w:p>
    <w:p>
      <w:pPr>
        <w:overflowPunct w:val="0"/>
        <w:adjustRightInd w:val="0"/>
        <w:snapToGrid w:val="0"/>
        <w:spacing w:line="550" w:lineRule="exact"/>
        <w:ind w:right="3569" w:firstLine="643" w:firstLineChars="200"/>
        <w:rPr>
          <w:rFonts w:eastAsia="仿宋_GB2312" w:cs="仿宋_GB2312"/>
          <w:w w:val="99"/>
          <w:sz w:val="32"/>
          <w:szCs w:val="32"/>
        </w:rPr>
      </w:pPr>
      <w:r>
        <w:rPr>
          <w:rFonts w:hint="eastAsia" w:eastAsia="仿宋_GB2312" w:cs="仿宋_GB2312"/>
          <w:b/>
          <w:bCs/>
          <w:sz w:val="32"/>
          <w:szCs w:val="32"/>
        </w:rPr>
        <w:t>第一部分  概况</w:t>
      </w:r>
      <w:r>
        <w:rPr>
          <w:rFonts w:hint="eastAsia" w:eastAsia="仿宋_GB2312" w:cs="仿宋_GB2312"/>
          <w:w w:val="99"/>
          <w:sz w:val="32"/>
          <w:szCs w:val="32"/>
        </w:rPr>
        <w:t xml:space="preserve"> </w:t>
      </w:r>
    </w:p>
    <w:p>
      <w:pPr>
        <w:overflowPunct w:val="0"/>
        <w:adjustRightInd w:val="0"/>
        <w:snapToGrid w:val="0"/>
        <w:spacing w:line="550" w:lineRule="exact"/>
        <w:ind w:right="3569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一、主要职能</w:t>
      </w:r>
    </w:p>
    <w:p>
      <w:pPr>
        <w:overflowPunct w:val="0"/>
        <w:adjustRightInd w:val="0"/>
        <w:snapToGrid w:val="0"/>
        <w:spacing w:line="550" w:lineRule="exact"/>
        <w:ind w:right="3569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二、部门预算单位构成</w:t>
      </w:r>
    </w:p>
    <w:p>
      <w:pPr>
        <w:overflowPunct w:val="0"/>
        <w:adjustRightInd w:val="0"/>
        <w:snapToGrid w:val="0"/>
        <w:spacing w:line="240" w:lineRule="auto"/>
        <w:ind w:right="0" w:firstLine="643" w:firstLineChars="200"/>
        <w:rPr>
          <w:rFonts w:eastAsia="仿宋_GB2312" w:cs="仿宋_GB2312"/>
          <w:b/>
          <w:bCs/>
          <w:sz w:val="32"/>
          <w:szCs w:val="32"/>
        </w:rPr>
      </w:pPr>
      <w:r>
        <w:rPr>
          <w:rFonts w:hint="eastAsia" w:eastAsia="仿宋_GB2312" w:cs="仿宋_GB2312"/>
          <w:b/>
          <w:bCs/>
          <w:sz w:val="32"/>
          <w:szCs w:val="32"/>
        </w:rPr>
        <w:t>第二部分 焦作市中站区朱村中心学校2022年</w:t>
      </w:r>
      <w:r>
        <w:rPr>
          <w:rFonts w:hint="eastAsia" w:eastAsia="仿宋_GB2312" w:cs="仿宋_GB2312"/>
          <w:b/>
          <w:bCs/>
          <w:sz w:val="32"/>
          <w:szCs w:val="32"/>
          <w:lang w:eastAsia="zh-CN"/>
        </w:rPr>
        <w:t>单位</w:t>
      </w:r>
      <w:r>
        <w:rPr>
          <w:rFonts w:hint="eastAsia" w:eastAsia="仿宋_GB2312" w:cs="仿宋_GB2312"/>
          <w:b/>
          <w:bCs/>
          <w:sz w:val="32"/>
          <w:szCs w:val="32"/>
        </w:rPr>
        <w:t>预算情况说明</w:t>
      </w:r>
    </w:p>
    <w:p>
      <w:pPr>
        <w:overflowPunct w:val="0"/>
        <w:adjustRightInd w:val="0"/>
        <w:snapToGrid w:val="0"/>
        <w:spacing w:line="550" w:lineRule="exact"/>
        <w:ind w:right="521" w:firstLine="643" w:firstLineChars="200"/>
        <w:rPr>
          <w:rFonts w:eastAsia="仿宋_GB2312" w:cs="仿宋_GB2312"/>
          <w:b/>
          <w:bCs/>
          <w:sz w:val="32"/>
          <w:szCs w:val="32"/>
        </w:rPr>
      </w:pPr>
      <w:r>
        <w:rPr>
          <w:rFonts w:hint="eastAsia" w:eastAsia="仿宋_GB2312" w:cs="仿宋_GB2312"/>
          <w:b/>
          <w:bCs/>
          <w:sz w:val="32"/>
          <w:szCs w:val="32"/>
        </w:rPr>
        <w:t>第三部分 名词解释</w:t>
      </w:r>
    </w:p>
    <w:p>
      <w:pPr>
        <w:overflowPunct w:val="0"/>
        <w:adjustRightInd w:val="0"/>
        <w:snapToGrid w:val="0"/>
        <w:spacing w:line="55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附件：</w:t>
      </w:r>
      <w:r>
        <w:rPr>
          <w:rFonts w:hint="eastAsia" w:eastAsia="仿宋_GB2312" w:cs="仿宋_GB2312"/>
          <w:spacing w:val="-32"/>
          <w:sz w:val="32"/>
          <w:szCs w:val="32"/>
        </w:rPr>
        <w:t xml:space="preserve"> </w:t>
      </w:r>
      <w:r>
        <w:rPr>
          <w:rFonts w:hint="eastAsia" w:eastAsia="仿宋_GB2312" w:cs="仿宋_GB2312"/>
          <w:sz w:val="32"/>
          <w:szCs w:val="32"/>
        </w:rPr>
        <w:t xml:space="preserve"> 焦作市中站区朱村中心学校2022年度</w:t>
      </w:r>
      <w:r>
        <w:rPr>
          <w:rFonts w:hint="eastAsia" w:eastAsia="仿宋_GB2312" w:cs="仿宋_GB2312"/>
          <w:sz w:val="32"/>
          <w:szCs w:val="32"/>
          <w:lang w:eastAsia="zh-CN"/>
        </w:rPr>
        <w:t>单位</w:t>
      </w:r>
      <w:r>
        <w:rPr>
          <w:rFonts w:hint="eastAsia" w:eastAsia="仿宋_GB2312" w:cs="仿宋_GB2312"/>
          <w:sz w:val="32"/>
          <w:szCs w:val="32"/>
        </w:rPr>
        <w:t>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一、部门收支预算表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二、部门收入预算表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三、部门支出预算表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四、财政拨款收支预算表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五、一般公共预算支出预算表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六、一般公共预算基本支出预算表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七、一般公共预算基本支出明细表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八、支出经济分类汇总表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九、一般公共预算“三公”经费预算表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十、政府性基金支出预算表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十一、国有资本经营支出预算表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十二、项目支出预算表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十三、行政（事业）单位机构运行经费</w:t>
      </w:r>
    </w:p>
    <w:p>
      <w:pPr>
        <w:overflowPunct w:val="0"/>
        <w:adjustRightInd w:val="0"/>
        <w:snapToGrid w:val="0"/>
        <w:spacing w:line="550" w:lineRule="exact"/>
        <w:ind w:firstLine="940" w:firstLineChars="294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十四、本级部门预算项目绩效目标表</w:t>
      </w:r>
    </w:p>
    <w:p>
      <w:pPr>
        <w:overflowPunct w:val="0"/>
        <w:adjustRightInd w:val="0"/>
        <w:snapToGrid w:val="0"/>
        <w:spacing w:line="550" w:lineRule="exact"/>
        <w:jc w:val="center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br w:type="page"/>
      </w:r>
    </w:p>
    <w:p>
      <w:pPr>
        <w:overflowPunct w:val="0"/>
        <w:adjustRightInd w:val="0"/>
        <w:snapToGrid w:val="0"/>
        <w:spacing w:line="550" w:lineRule="exact"/>
        <w:jc w:val="center"/>
        <w:rPr>
          <w:rFonts w:eastAsia="黑体" w:cs="仿宋_GB2312"/>
          <w:bCs/>
          <w:color w:val="000000"/>
          <w:sz w:val="36"/>
          <w:szCs w:val="36"/>
        </w:rPr>
      </w:pPr>
      <w:r>
        <w:rPr>
          <w:rFonts w:hint="eastAsia" w:eastAsia="黑体" w:cs="仿宋_GB2312"/>
          <w:bCs/>
          <w:color w:val="000000"/>
          <w:sz w:val="36"/>
          <w:szCs w:val="36"/>
        </w:rPr>
        <w:t>第一部分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jc w:val="center"/>
        <w:rPr>
          <w:rFonts w:eastAsia="黑体" w:cs="仿宋_GB2312"/>
          <w:color w:val="000000"/>
          <w:sz w:val="36"/>
          <w:szCs w:val="36"/>
        </w:rPr>
      </w:pPr>
      <w:r>
        <w:rPr>
          <w:rFonts w:hint="eastAsia" w:eastAsia="黑体" w:cs="仿宋_GB2312"/>
          <w:bCs/>
          <w:color w:val="000000"/>
          <w:sz w:val="36"/>
          <w:szCs w:val="36"/>
        </w:rPr>
        <w:t>焦作市中站区朱村中心学校概况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jc w:val="center"/>
        <w:rPr>
          <w:rFonts w:eastAsia="仿宋_GB2312" w:cs="仿宋_GB2312"/>
          <w:color w:val="000000"/>
          <w:sz w:val="32"/>
          <w:szCs w:val="32"/>
        </w:rPr>
      </w:pP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黑体" w:cs="仿宋_GB2312"/>
          <w:color w:val="000000"/>
          <w:sz w:val="32"/>
          <w:szCs w:val="32"/>
        </w:rPr>
      </w:pPr>
      <w:r>
        <w:rPr>
          <w:rFonts w:hint="eastAsia" w:eastAsia="黑体" w:cs="仿宋_GB2312"/>
          <w:color w:val="000000"/>
          <w:sz w:val="32"/>
          <w:szCs w:val="32"/>
        </w:rPr>
        <w:t>主要职能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jc w:val="left"/>
        <w:rPr>
          <w:rFonts w:eastAsia="楷体_GB2312" w:cs="仿宋_GB2312"/>
          <w:color w:val="000000"/>
          <w:sz w:val="32"/>
          <w:szCs w:val="32"/>
        </w:rPr>
      </w:pPr>
      <w:r>
        <w:rPr>
          <w:rFonts w:hint="eastAsia" w:eastAsia="楷体_GB2312" w:cs="仿宋_GB2312"/>
          <w:color w:val="000000"/>
          <w:sz w:val="32"/>
          <w:szCs w:val="32"/>
        </w:rPr>
        <w:t>（一）机构设置情况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焦作市中站区朱村中心学校位于中站区朱村街道办事处北朱村，属财政全供的行政单位。焦作市中站区朱村中心学校的主要职能是：贯彻落实中央及省、市、区有关教育工作的方针、政策，进行调查研究总结推广先进经验；组织教育教学、科学研究活动，保证教育教学质量。维护教职工利益，保障教职工合法权益，以教职工和学生的人生幸福和生命质量作为重；教育事业计划统计，教育经费预算、决算等；检查督促教学计划、教学大纲等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楷体_GB2312" w:cs="仿宋_GB2312"/>
          <w:color w:val="000000"/>
          <w:sz w:val="32"/>
          <w:szCs w:val="32"/>
        </w:rPr>
      </w:pPr>
      <w:r>
        <w:rPr>
          <w:rFonts w:hint="eastAsia" w:eastAsia="楷体_GB2312" w:cs="仿宋_GB2312"/>
          <w:color w:val="000000"/>
          <w:sz w:val="32"/>
          <w:szCs w:val="32"/>
        </w:rPr>
        <w:t>（二）部门职责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楷体_GB2312" w:cs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焦作市中站区朱村中心学校，设有小学1-6年级教学班12个，在校学生400人。教职工编制人数35人，实有教职工33人。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黑体" w:cs="仿宋_GB2312"/>
          <w:color w:val="000000"/>
          <w:sz w:val="32"/>
          <w:szCs w:val="32"/>
        </w:rPr>
      </w:pPr>
      <w:r>
        <w:rPr>
          <w:rFonts w:hint="eastAsia" w:eastAsia="黑体" w:cs="仿宋_GB2312"/>
          <w:color w:val="000000"/>
          <w:sz w:val="32"/>
          <w:szCs w:val="32"/>
        </w:rPr>
        <w:t>二、焦作市中站区朱村中心学校预算单位构成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焦作市中站区朱村中心学校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pStyle w:val="2"/>
      </w:pP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4" w:lineRule="exact"/>
        <w:jc w:val="center"/>
        <w:rPr>
          <w:rFonts w:eastAsia="黑体" w:cs="仿宋_GB2312"/>
          <w:bCs/>
          <w:color w:val="000000"/>
          <w:sz w:val="36"/>
          <w:szCs w:val="36"/>
        </w:rPr>
      </w:pPr>
      <w:r>
        <w:rPr>
          <w:rFonts w:hint="eastAsia" w:eastAsia="黑体" w:cs="仿宋_GB2312"/>
          <w:bCs/>
          <w:color w:val="000000"/>
          <w:sz w:val="36"/>
          <w:szCs w:val="36"/>
        </w:rPr>
        <w:t>第二部分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4" w:lineRule="exact"/>
        <w:jc w:val="center"/>
        <w:rPr>
          <w:rFonts w:eastAsia="黑体" w:cs="仿宋_GB2312"/>
          <w:bCs/>
          <w:color w:val="000000"/>
          <w:sz w:val="36"/>
          <w:szCs w:val="36"/>
        </w:rPr>
      </w:pPr>
      <w:r>
        <w:rPr>
          <w:rFonts w:hint="eastAsia" w:eastAsia="黑体" w:cs="仿宋_GB2312"/>
          <w:bCs/>
          <w:color w:val="000000"/>
          <w:sz w:val="36"/>
          <w:szCs w:val="36"/>
        </w:rPr>
        <w:t>焦作市中站区朱村中心学校2022年度部门预算情况说明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仿宋_GB2312" w:cs="仿宋_GB2312"/>
          <w:color w:val="000000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一、收入支出预算总体情况说明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Arial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中站区朱村中心学校2022年收入总计670.31万元，支出总计</w:t>
      </w:r>
      <w:r>
        <w:rPr>
          <w:rFonts w:hint="eastAsia" w:eastAsia="仿宋_GB2312" w:cs="Arial"/>
          <w:color w:val="000000"/>
          <w:sz w:val="32"/>
          <w:szCs w:val="32"/>
        </w:rPr>
        <w:t>670.31</w:t>
      </w:r>
      <w:r>
        <w:rPr>
          <w:rFonts w:hint="eastAsia" w:eastAsia="仿宋_GB2312" w:cs="仿宋_GB2312"/>
          <w:color w:val="000000"/>
          <w:sz w:val="32"/>
          <w:szCs w:val="32"/>
        </w:rPr>
        <w:t>万元，与2021年相比，收、支总计各增加</w:t>
      </w:r>
      <w:r>
        <w:rPr>
          <w:rFonts w:hint="eastAsia" w:eastAsia="仿宋_GB2312" w:cs="Arial"/>
          <w:color w:val="000000"/>
          <w:sz w:val="32"/>
          <w:szCs w:val="32"/>
        </w:rPr>
        <w:t>286.58</w:t>
      </w:r>
      <w:r>
        <w:rPr>
          <w:rFonts w:hint="eastAsia" w:eastAsia="仿宋_GB2312" w:cs="仿宋_GB2312"/>
          <w:color w:val="000000"/>
          <w:sz w:val="32"/>
          <w:szCs w:val="32"/>
        </w:rPr>
        <w:t>万元，增长</w:t>
      </w:r>
      <w:r>
        <w:rPr>
          <w:rFonts w:hint="eastAsia" w:eastAsia="仿宋_GB2312" w:cs="Arial"/>
          <w:color w:val="000000"/>
          <w:sz w:val="32"/>
          <w:szCs w:val="32"/>
        </w:rPr>
        <w:t>74.68</w:t>
      </w:r>
      <w:r>
        <w:rPr>
          <w:rFonts w:hint="eastAsia" w:eastAsia="仿宋_GB2312" w:cs="仿宋_GB2312"/>
          <w:color w:val="000000"/>
          <w:sz w:val="32"/>
          <w:szCs w:val="32"/>
        </w:rPr>
        <w:t>%。主要原因：项目支出增加及人员支出增加</w:t>
      </w:r>
      <w:r>
        <w:rPr>
          <w:rFonts w:hint="eastAsia" w:eastAsia="仿宋_GB2312" w:cs="Arial"/>
          <w:color w:val="000000"/>
          <w:sz w:val="32"/>
          <w:szCs w:val="32"/>
        </w:rPr>
        <w:t xml:space="preserve">。  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二、收入预算总体情况说明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4" w:lineRule="exact"/>
        <w:ind w:firstLine="64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中站区朱村中心学校2022年收入合计</w:t>
      </w:r>
      <w:r>
        <w:rPr>
          <w:rFonts w:hint="eastAsia" w:eastAsia="仿宋_GB2312" w:cs="Arial"/>
          <w:color w:val="000000"/>
          <w:sz w:val="32"/>
          <w:szCs w:val="32"/>
        </w:rPr>
        <w:t>670.31</w:t>
      </w:r>
      <w:r>
        <w:rPr>
          <w:rFonts w:hint="eastAsia" w:eastAsia="仿宋_GB2312" w:cs="仿宋_GB2312"/>
          <w:color w:val="000000"/>
          <w:sz w:val="32"/>
          <w:szCs w:val="32"/>
        </w:rPr>
        <w:t>万元，其中：一般公共预算收入</w:t>
      </w:r>
      <w:r>
        <w:rPr>
          <w:rFonts w:hint="eastAsia" w:eastAsia="仿宋_GB2312" w:cs="Arial"/>
          <w:color w:val="000000"/>
          <w:sz w:val="32"/>
          <w:szCs w:val="32"/>
        </w:rPr>
        <w:t>670.31</w:t>
      </w:r>
      <w:r>
        <w:rPr>
          <w:rFonts w:hint="eastAsia" w:eastAsia="仿宋_GB2312" w:cs="仿宋_GB2312"/>
          <w:color w:val="000000"/>
          <w:sz w:val="32"/>
          <w:szCs w:val="32"/>
        </w:rPr>
        <w:t>万元; 政府性基金预算收入</w:t>
      </w:r>
      <w:r>
        <w:rPr>
          <w:rFonts w:hint="eastAsia" w:eastAsia="仿宋_GB2312" w:cs="Arial"/>
          <w:color w:val="000000"/>
          <w:sz w:val="32"/>
          <w:szCs w:val="32"/>
        </w:rPr>
        <w:t>0</w:t>
      </w:r>
      <w:r>
        <w:rPr>
          <w:rFonts w:hint="eastAsia" w:eastAsia="仿宋_GB2312" w:cs="仿宋_GB2312"/>
          <w:color w:val="000000"/>
          <w:sz w:val="32"/>
          <w:szCs w:val="32"/>
        </w:rPr>
        <w:t>万元；国有资本经营预算收</w:t>
      </w:r>
      <w:r>
        <w:rPr>
          <w:rFonts w:hint="eastAsia" w:eastAsia="仿宋_GB2312" w:cs="仿宋_GB2312"/>
          <w:color w:val="000000"/>
          <w:spacing w:val="6"/>
          <w:sz w:val="32"/>
          <w:szCs w:val="32"/>
        </w:rPr>
        <w:t>入</w:t>
      </w:r>
      <w:r>
        <w:rPr>
          <w:rFonts w:hint="eastAsia" w:eastAsia="仿宋_GB2312" w:cs="Arial"/>
          <w:color w:val="000000"/>
          <w:spacing w:val="6"/>
          <w:sz w:val="32"/>
          <w:szCs w:val="32"/>
        </w:rPr>
        <w:t>0万元；财政专户管理资金收入0万元；其他收入</w:t>
      </w:r>
      <w:r>
        <w:rPr>
          <w:rFonts w:hint="eastAsia" w:eastAsia="仿宋_GB2312" w:cs="仿宋_GB2312"/>
          <w:color w:val="000000"/>
          <w:spacing w:val="6"/>
          <w:kern w:val="0"/>
          <w:sz w:val="32"/>
          <w:szCs w:val="32"/>
        </w:rPr>
        <w:t>0万元</w:t>
      </w:r>
      <w:r>
        <w:rPr>
          <w:rFonts w:hint="eastAsia" w:eastAsia="仿宋_GB2312" w:cs="Arial"/>
          <w:color w:val="000000"/>
          <w:sz w:val="32"/>
          <w:szCs w:val="32"/>
        </w:rPr>
        <w:t>。</w:t>
      </w:r>
      <w:r>
        <w:rPr>
          <w:rFonts w:hint="eastAsia" w:eastAsia="仿宋_GB2312" w:cs="仿宋_GB2312"/>
          <w:color w:val="000000"/>
          <w:sz w:val="32"/>
          <w:szCs w:val="32"/>
        </w:rPr>
        <w:t xml:space="preserve"> 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三、支出预算总体情况说明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中站区朱村中心学校2022年支出合计</w:t>
      </w:r>
      <w:r>
        <w:rPr>
          <w:rFonts w:hint="eastAsia" w:eastAsia="仿宋_GB2312" w:cs="Arial"/>
          <w:color w:val="000000"/>
          <w:sz w:val="32"/>
          <w:szCs w:val="32"/>
        </w:rPr>
        <w:t>670.31</w:t>
      </w:r>
      <w:r>
        <w:rPr>
          <w:rFonts w:hint="eastAsia" w:eastAsia="仿宋_GB2312" w:cs="仿宋_GB2312"/>
          <w:color w:val="000000"/>
          <w:sz w:val="32"/>
          <w:szCs w:val="32"/>
        </w:rPr>
        <w:t>万元，其中：基本支出</w:t>
      </w:r>
      <w:r>
        <w:rPr>
          <w:rFonts w:hint="eastAsia" w:eastAsia="仿宋_GB2312" w:cs="Arial"/>
          <w:color w:val="000000"/>
          <w:sz w:val="32"/>
          <w:szCs w:val="32"/>
        </w:rPr>
        <w:t>471.63</w:t>
      </w:r>
      <w:r>
        <w:rPr>
          <w:rFonts w:hint="eastAsia" w:eastAsia="仿宋_GB2312" w:cs="仿宋_GB2312"/>
          <w:color w:val="000000"/>
          <w:sz w:val="32"/>
          <w:szCs w:val="32"/>
        </w:rPr>
        <w:t>万元，占</w:t>
      </w:r>
      <w:r>
        <w:rPr>
          <w:rFonts w:hint="eastAsia" w:eastAsia="仿宋_GB2312" w:cs="Arial"/>
          <w:color w:val="000000"/>
          <w:sz w:val="32"/>
          <w:szCs w:val="32"/>
        </w:rPr>
        <w:t>70.36%</w:t>
      </w:r>
      <w:r>
        <w:rPr>
          <w:rFonts w:hint="eastAsia" w:eastAsia="仿宋_GB2312" w:cs="仿宋_GB2312"/>
          <w:color w:val="000000"/>
          <w:sz w:val="32"/>
          <w:szCs w:val="32"/>
        </w:rPr>
        <w:t>；项目支出</w:t>
      </w:r>
      <w:r>
        <w:rPr>
          <w:rFonts w:hint="eastAsia" w:eastAsia="仿宋_GB2312" w:cs="Arial"/>
          <w:color w:val="000000"/>
          <w:sz w:val="32"/>
          <w:szCs w:val="32"/>
        </w:rPr>
        <w:t>198.68</w:t>
      </w:r>
      <w:r>
        <w:rPr>
          <w:rFonts w:hint="eastAsia" w:eastAsia="仿宋_GB2312" w:cs="仿宋_GB2312"/>
          <w:color w:val="000000"/>
          <w:sz w:val="32"/>
          <w:szCs w:val="32"/>
        </w:rPr>
        <w:t>万元，占</w:t>
      </w:r>
      <w:r>
        <w:rPr>
          <w:rFonts w:hint="eastAsia" w:eastAsia="仿宋_GB2312" w:cs="Arial"/>
          <w:color w:val="000000"/>
          <w:sz w:val="32"/>
          <w:szCs w:val="32"/>
        </w:rPr>
        <w:t>29.64</w:t>
      </w:r>
      <w:r>
        <w:rPr>
          <w:rFonts w:hint="eastAsia" w:eastAsia="仿宋_GB2312" w:cs="仿宋_GB2312"/>
          <w:color w:val="000000"/>
          <w:sz w:val="32"/>
          <w:szCs w:val="32"/>
        </w:rPr>
        <w:t xml:space="preserve">%。 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四、财政拨款收入支出预算总体情况说明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中站区朱村中心学校2022年一般公共预算收支预算</w:t>
      </w:r>
      <w:r>
        <w:rPr>
          <w:rFonts w:hint="eastAsia" w:eastAsia="仿宋_GB2312" w:cs="Arial"/>
          <w:color w:val="000000"/>
          <w:sz w:val="32"/>
          <w:szCs w:val="32"/>
        </w:rPr>
        <w:t>670.31</w:t>
      </w:r>
      <w:r>
        <w:rPr>
          <w:rFonts w:hint="eastAsia" w:eastAsia="仿宋_GB2312" w:cs="仿宋_GB2312"/>
          <w:color w:val="000000"/>
          <w:sz w:val="32"/>
          <w:szCs w:val="32"/>
        </w:rPr>
        <w:t>万元，政府性基金收支预算</w:t>
      </w:r>
      <w:r>
        <w:rPr>
          <w:rFonts w:hint="eastAsia" w:eastAsia="仿宋_GB2312" w:cs="Arial"/>
          <w:color w:val="000000"/>
          <w:sz w:val="32"/>
          <w:szCs w:val="32"/>
        </w:rPr>
        <w:t>0万元。</w:t>
      </w:r>
      <w:r>
        <w:rPr>
          <w:rFonts w:hint="eastAsia" w:eastAsia="仿宋_GB2312" w:cs="仿宋_GB2312"/>
          <w:color w:val="000000"/>
          <w:sz w:val="32"/>
          <w:szCs w:val="32"/>
        </w:rPr>
        <w:t>与 2021年相比，一般公共预算收支预算增加</w:t>
      </w:r>
      <w:r>
        <w:rPr>
          <w:rFonts w:hint="eastAsia" w:eastAsia="仿宋_GB2312" w:cs="Arial"/>
          <w:color w:val="000000"/>
          <w:sz w:val="32"/>
          <w:szCs w:val="32"/>
        </w:rPr>
        <w:t>286.5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8</w:t>
      </w:r>
      <w:r>
        <w:rPr>
          <w:rFonts w:hint="eastAsia" w:eastAsia="仿宋_GB2312" w:cs="仿宋_GB2312"/>
          <w:color w:val="000000"/>
          <w:sz w:val="32"/>
          <w:szCs w:val="32"/>
        </w:rPr>
        <w:t>万元，增长</w:t>
      </w:r>
      <w:r>
        <w:rPr>
          <w:rFonts w:hint="eastAsia" w:eastAsia="仿宋_GB2312" w:cs="Arial"/>
          <w:color w:val="000000"/>
          <w:sz w:val="32"/>
          <w:szCs w:val="32"/>
        </w:rPr>
        <w:t>74.68</w:t>
      </w:r>
      <w:r>
        <w:rPr>
          <w:rFonts w:hint="eastAsia" w:eastAsia="仿宋_GB2312" w:cs="仿宋_GB2312"/>
          <w:color w:val="000000"/>
          <w:sz w:val="32"/>
          <w:szCs w:val="32"/>
        </w:rPr>
        <w:t>%，主要原因：</w:t>
      </w:r>
      <w:r>
        <w:rPr>
          <w:rFonts w:hint="eastAsia" w:eastAsia="仿宋_GB2312" w:cs="Arial"/>
          <w:color w:val="000000"/>
          <w:sz w:val="32"/>
          <w:szCs w:val="32"/>
        </w:rPr>
        <w:t>项目支出增加及人员支出增加；</w:t>
      </w:r>
      <w:r>
        <w:rPr>
          <w:rFonts w:hint="eastAsia" w:eastAsia="仿宋_GB2312" w:cs="仿宋_GB2312"/>
          <w:color w:val="000000"/>
          <w:sz w:val="32"/>
          <w:szCs w:val="32"/>
        </w:rPr>
        <w:t>政府性基金收支预算增加</w:t>
      </w:r>
      <w:r>
        <w:rPr>
          <w:rFonts w:hint="eastAsia" w:eastAsia="仿宋_GB2312" w:cs="Arial"/>
          <w:color w:val="000000"/>
          <w:sz w:val="32"/>
          <w:szCs w:val="32"/>
        </w:rPr>
        <w:t>0元，增长0</w:t>
      </w:r>
      <w:r>
        <w:rPr>
          <w:rFonts w:hint="eastAsia" w:eastAsia="仿宋_GB2312" w:cs="仿宋_GB2312"/>
          <w:color w:val="000000"/>
          <w:sz w:val="32"/>
          <w:szCs w:val="32"/>
        </w:rPr>
        <w:t>%</w:t>
      </w:r>
      <w:r>
        <w:rPr>
          <w:rFonts w:hint="eastAsia" w:eastAsia="仿宋_GB2312" w:cs="Arial"/>
          <w:color w:val="000000"/>
          <w:sz w:val="32"/>
          <w:szCs w:val="32"/>
        </w:rPr>
        <w:t>，</w:t>
      </w:r>
      <w:r>
        <w:rPr>
          <w:rFonts w:hint="eastAsia" w:eastAsia="仿宋_GB2312" w:cs="仿宋_GB2312"/>
          <w:color w:val="000000"/>
          <w:sz w:val="32"/>
          <w:szCs w:val="32"/>
        </w:rPr>
        <w:t>主要原因：</w:t>
      </w:r>
      <w:r>
        <w:rPr>
          <w:rFonts w:hint="eastAsia" w:eastAsia="仿宋_GB2312" w:cs="Arial"/>
          <w:color w:val="000000"/>
          <w:sz w:val="32"/>
          <w:szCs w:val="32"/>
        </w:rPr>
        <w:t>政府性基金无投入。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五、一般公共预算支出预算情况说明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22"/>
        <w:rPr>
          <w:rFonts w:eastAsia="仿宋_GB2312" w:cs="仿宋_GB2312"/>
          <w:color w:val="000000"/>
          <w:spacing w:val="6"/>
          <w:kern w:val="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中站区朱村中心学校2022年一般公共预算支出年初预算为</w:t>
      </w:r>
      <w:r>
        <w:rPr>
          <w:rFonts w:hint="eastAsia" w:eastAsia="仿宋_GB2312" w:cs="Arial"/>
          <w:color w:val="000000"/>
          <w:sz w:val="32"/>
          <w:szCs w:val="32"/>
        </w:rPr>
        <w:t>670.31</w:t>
      </w:r>
      <w:r>
        <w:rPr>
          <w:rFonts w:hint="eastAsia" w:eastAsia="仿宋_GB2312" w:cs="仿宋_GB2312"/>
          <w:color w:val="000000"/>
          <w:sz w:val="32"/>
          <w:szCs w:val="32"/>
        </w:rPr>
        <w:t>万元。主要用于以下方面：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一般公共服务支出</w:t>
      </w:r>
      <w:r>
        <w:rPr>
          <w:rFonts w:hint="eastAsia" w:eastAsia="仿宋_GB2312" w:cs="Arial"/>
          <w:color w:val="000000"/>
          <w:sz w:val="32"/>
          <w:szCs w:val="32"/>
        </w:rPr>
        <w:t>0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万元，占0%；国防支出0万元，占0%；教育支出565.84万元，占84.41%；科学技术支出0万元，占0%；文化体育与传媒支出0万元，占0%；</w:t>
      </w:r>
      <w:r>
        <w:rPr>
          <w:rFonts w:hint="eastAsia" w:eastAsia="仿宋_GB2312" w:cs="仿宋_GB2312"/>
          <w:color w:val="000000"/>
          <w:spacing w:val="6"/>
          <w:kern w:val="0"/>
          <w:sz w:val="32"/>
          <w:szCs w:val="32"/>
        </w:rPr>
        <w:t>社会保障和就业支出65.42万元，占9.76%；医疗卫生与计划生育支出15.02万元，占2.24%；农林水支出0万元，占0%；住房保障支出24.03万元，占3.59%；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黑体"/>
          <w:sz w:val="32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六、一般公共预算基本支出预算情况说明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22"/>
        <w:rPr>
          <w:rFonts w:eastAsia="仿宋_GB2312" w:cs="仿宋_GB2312"/>
          <w:color w:val="000000"/>
          <w:kern w:val="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中站区朱村中心学校2022年一般公共预算基本支出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471.63</w:t>
      </w:r>
      <w:r>
        <w:rPr>
          <w:rFonts w:hint="eastAsia" w:eastAsia="仿宋_GB2312" w:cs="仿宋_GB2312"/>
          <w:color w:val="000000"/>
          <w:sz w:val="32"/>
          <w:szCs w:val="32"/>
        </w:rPr>
        <w:t>万元，其中：</w:t>
      </w:r>
      <w:r>
        <w:rPr>
          <w:rFonts w:hint="eastAsia" w:eastAsia="仿宋_GB2312" w:cs="仿宋_GB2312"/>
          <w:b/>
          <w:color w:val="000000"/>
          <w:spacing w:val="-1"/>
          <w:kern w:val="0"/>
          <w:sz w:val="32"/>
          <w:szCs w:val="32"/>
        </w:rPr>
        <w:t>人员经费</w:t>
      </w:r>
      <w:r>
        <w:rPr>
          <w:rFonts w:hint="eastAsia" w:eastAsia="仿宋_GB2312" w:cs="仿宋_GB2312"/>
          <w:b/>
          <w:color w:val="000000"/>
          <w:kern w:val="0"/>
          <w:sz w:val="32"/>
          <w:szCs w:val="32"/>
        </w:rPr>
        <w:t>432.02</w:t>
      </w:r>
      <w:r>
        <w:rPr>
          <w:rFonts w:hint="eastAsia" w:eastAsia="仿宋_GB2312" w:cs="仿宋_GB2312"/>
          <w:b/>
          <w:color w:val="000000"/>
          <w:sz w:val="32"/>
          <w:szCs w:val="32"/>
        </w:rPr>
        <w:t>万元</w:t>
      </w:r>
      <w:r>
        <w:rPr>
          <w:rFonts w:hint="eastAsia" w:eastAsia="仿宋_GB2312" w:cs="仿宋_GB2312"/>
          <w:color w:val="000000"/>
          <w:sz w:val="32"/>
          <w:szCs w:val="32"/>
        </w:rPr>
        <w:t>，主要包括：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基本工资129.48万元、津贴补贴48.40万元、奖金74.10万元、绩效工资70.26万元、机关事业单位基本养老保险缴费32.04万元、职业年金缴费22.03万元、医疗保险缴费15.02万元、其他社会保障缴费0.40万元、住房公积金24.03万元、其他工资福利支出、离休费、退休费16.26万元、其他对个人和家庭的补助支出；</w:t>
      </w:r>
      <w:r>
        <w:rPr>
          <w:rFonts w:hint="eastAsia" w:eastAsia="仿宋_GB2312" w:cs="仿宋_GB2312"/>
          <w:b/>
          <w:bCs/>
          <w:color w:val="000000"/>
          <w:kern w:val="0"/>
          <w:sz w:val="32"/>
          <w:szCs w:val="32"/>
        </w:rPr>
        <w:t>公用经费39.61万元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，主要包括：办公费18.58万元、印刷费、咨询费、手续费、水费、电费2.5万元、邮电费、取暖费、物业管理费、差旅费、因公出国（境）费、维修（护）费5.8万元、租赁费、会议费、培训费2.15万元、公务接待费0.02万元、专用材料费、专用燃料费、劳务费、委托业务费、福利费、公务用车运行维护费、其他交通费用、税金及附加费用、其他商品和服务支出0.5万元、债务利息、办公设备购置1.05万元、专用设备购置、基础设施建设、大型修缮、信息网络及软件购置更新、公务用车购置、其他资本性支出和其他支出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七、政府性基金预算支出预算情况说明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我单位2022年没有使用政府性基金预算拨款安排的支出。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黑体"/>
          <w:color w:val="000000"/>
          <w:kern w:val="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八、</w:t>
      </w:r>
      <w:r>
        <w:rPr>
          <w:rFonts w:hint="eastAsia" w:eastAsia="黑体"/>
          <w:color w:val="000000"/>
          <w:kern w:val="0"/>
          <w:sz w:val="32"/>
          <w:szCs w:val="32"/>
        </w:rPr>
        <w:t>国有资本经营预算支出预算情况说明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我单位2022年没有使用国有资本经营预算拨款安排的支出。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九、“三公”经费支出预算情况说明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</w:rPr>
        <w:t>中站区朱村中心学校2022年“三公”经费支出预算为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0.02</w:t>
      </w:r>
      <w:r>
        <w:rPr>
          <w:rFonts w:hint="eastAsia" w:eastAsia="仿宋_GB2312" w:cs="仿宋_GB2312"/>
          <w:color w:val="000000"/>
          <w:sz w:val="32"/>
          <w:szCs w:val="32"/>
        </w:rPr>
        <w:t>万元，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与</w:t>
      </w:r>
      <w:r>
        <w:rPr>
          <w:rFonts w:hint="eastAsia" w:eastAsia="仿宋_GB2312" w:cs="仿宋_GB2312"/>
          <w:color w:val="000000"/>
          <w:sz w:val="32"/>
          <w:szCs w:val="32"/>
        </w:rPr>
        <w:t xml:space="preserve"> 2021年预算数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相比无增减。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具体支出情况如下：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36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ascii="Times New Roman" w:hAnsi="Times New Roman" w:eastAsia="楷体_GB2312" w:cs="仿宋_GB2312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万元。</w:t>
      </w:r>
      <w:r>
        <w:rPr>
          <w:rFonts w:hint="eastAsia" w:ascii="仿宋_GB2312" w:eastAsia="仿宋_GB2312"/>
          <w:color w:val="000000"/>
          <w:sz w:val="32"/>
          <w:szCs w:val="32"/>
        </w:rPr>
        <w:t>与2021年相比无增减。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36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spacing w:val="-1"/>
          <w:kern w:val="0"/>
          <w:sz w:val="32"/>
          <w:szCs w:val="32"/>
        </w:rPr>
        <w:t>公务用车购置及运行费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元。其中公务车辆购置费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</w:t>
      </w:r>
      <w:r>
        <w:rPr>
          <w:rFonts w:hint="eastAsia" w:ascii="仿宋_GB2312" w:eastAsia="仿宋_GB2312"/>
          <w:color w:val="000000"/>
          <w:sz w:val="32"/>
          <w:szCs w:val="32"/>
        </w:rPr>
        <w:t>与2021年相比无增减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；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公务用车运行维护费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与2021年相比无增减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。</w:t>
      </w:r>
    </w:p>
    <w:p>
      <w:pPr>
        <w:pStyle w:val="5"/>
        <w:numPr>
          <w:ilvl w:val="0"/>
          <w:numId w:val="2"/>
        </w:numPr>
        <w:shd w:val="clear" w:color="auto" w:fill="FFFFFF"/>
        <w:spacing w:before="0" w:beforeAutospacing="0" w:after="0" w:afterAutospacing="0" w:line="560" w:lineRule="atLeast"/>
        <w:ind w:left="0" w:leftChars="0" w:firstLine="636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spacing w:val="-1"/>
          <w:kern w:val="0"/>
          <w:sz w:val="32"/>
          <w:szCs w:val="32"/>
        </w:rPr>
        <w:t>公务接待费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0.02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万元，主要用于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日常公务接待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与2021年相比无增减。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黑体"/>
          <w:color w:val="000000"/>
          <w:spacing w:val="-1"/>
          <w:kern w:val="0"/>
          <w:sz w:val="32"/>
          <w:szCs w:val="32"/>
        </w:rPr>
        <w:t>十、其他重要事项的情况说明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（一）机构运行经费支出情况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中站区朱村中心学校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2022年机构运行经费支出预算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30.6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万元，主要保障机构正常运转及正常履职需要的办公费、水电费、物业费、维修费、差旅费等支出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，比2021年减少</w:t>
      </w:r>
      <w:r>
        <w:rPr>
          <w:rFonts w:hint="eastAsia" w:eastAsia="仿宋_GB2312" w:cs="仿宋_GB2312"/>
          <w:color w:val="auto"/>
          <w:kern w:val="0"/>
          <w:sz w:val="32"/>
          <w:szCs w:val="32"/>
          <w:lang w:val="en-US" w:eastAsia="zh-CN"/>
        </w:rPr>
        <w:t>0.94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万元，下降</w:t>
      </w:r>
      <w:r>
        <w:rPr>
          <w:rFonts w:hint="eastAsia" w:eastAsia="仿宋_GB2312" w:cs="仿宋_GB2312"/>
          <w:color w:val="auto"/>
          <w:kern w:val="0"/>
          <w:sz w:val="32"/>
          <w:szCs w:val="32"/>
          <w:lang w:val="en-US" w:eastAsia="zh-CN"/>
        </w:rPr>
        <w:t>2.98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%，主要原因：</w:t>
      </w:r>
      <w:r>
        <w:rPr>
          <w:rFonts w:hint="eastAsia" w:eastAsia="仿宋_GB2312" w:cs="仿宋_GB2312"/>
          <w:color w:val="auto"/>
          <w:kern w:val="0"/>
          <w:sz w:val="32"/>
          <w:szCs w:val="32"/>
          <w:lang w:val="en-US" w:eastAsia="zh-CN"/>
        </w:rPr>
        <w:t>压缩办公经费支出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楷体_GB2312" w:cs="仿宋_GB2312"/>
          <w:color w:val="000000"/>
          <w:kern w:val="0"/>
          <w:sz w:val="32"/>
          <w:szCs w:val="32"/>
        </w:rPr>
      </w:pPr>
      <w:r>
        <w:rPr>
          <w:rFonts w:hint="eastAsia" w:eastAsia="楷体_GB2312" w:cs="仿宋_GB2312"/>
          <w:color w:val="000000"/>
          <w:kern w:val="0"/>
          <w:sz w:val="32"/>
          <w:szCs w:val="32"/>
        </w:rPr>
        <w:t>（二）政府采购支出情况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2022年政府采购预算安排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0</w:t>
      </w:r>
      <w:r>
        <w:rPr>
          <w:rFonts w:hint="eastAsia" w:eastAsia="仿宋_GB2312" w:cs="仿宋_GB2312"/>
          <w:color w:val="000000"/>
          <w:sz w:val="32"/>
          <w:szCs w:val="32"/>
        </w:rPr>
        <w:t>万元，其中：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政府采购货物预算0万元、政府采购工程预算0万元、政府采购服务预算0万元。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楷体_GB2312" w:cs="仿宋_GB2312"/>
          <w:color w:val="000000"/>
          <w:kern w:val="0"/>
          <w:sz w:val="32"/>
          <w:szCs w:val="32"/>
        </w:rPr>
      </w:pPr>
      <w:r>
        <w:rPr>
          <w:rFonts w:hint="eastAsia" w:eastAsia="楷体_GB2312" w:cs="仿宋_GB2312"/>
          <w:color w:val="000000"/>
          <w:kern w:val="0"/>
          <w:sz w:val="32"/>
          <w:szCs w:val="32"/>
        </w:rPr>
        <w:t>（三）关于预算绩效管理工作开展情况说明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eastAsia="仿宋_GB2312" w:cs="仿宋_GB2312"/>
          <w:color w:val="FF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2022年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中站区朱村中心学校</w:t>
      </w:r>
      <w:r>
        <w:rPr>
          <w:rFonts w:eastAsia="仿宋_GB2312" w:cs="仿宋_GB2312"/>
          <w:color w:val="000000"/>
          <w:sz w:val="32"/>
          <w:szCs w:val="32"/>
        </w:rPr>
        <w:t>按要求编制了绩效目标，</w:t>
      </w:r>
      <w:r>
        <w:rPr>
          <w:rFonts w:hint="eastAsia" w:eastAsia="仿宋_GB2312" w:cs="仿宋_GB2312"/>
          <w:color w:val="000000"/>
          <w:sz w:val="32"/>
          <w:szCs w:val="32"/>
        </w:rPr>
        <w:t>包括部门（单位）整体绩效目标和项目支出绩效目标，</w:t>
      </w:r>
      <w:r>
        <w:rPr>
          <w:rFonts w:eastAsia="仿宋_GB2312" w:cs="仿宋_GB2312"/>
          <w:color w:val="000000"/>
          <w:sz w:val="32"/>
          <w:szCs w:val="32"/>
        </w:rPr>
        <w:t>综合反映</w:t>
      </w:r>
      <w:r>
        <w:rPr>
          <w:rFonts w:hint="eastAsia" w:eastAsia="仿宋_GB2312" w:cs="仿宋_GB2312"/>
          <w:color w:val="000000"/>
          <w:sz w:val="32"/>
          <w:szCs w:val="32"/>
        </w:rPr>
        <w:t>了部门（单位）及各</w:t>
      </w:r>
      <w:r>
        <w:rPr>
          <w:rFonts w:eastAsia="仿宋_GB2312" w:cs="仿宋_GB2312"/>
          <w:color w:val="000000"/>
          <w:sz w:val="32"/>
          <w:szCs w:val="32"/>
        </w:rPr>
        <w:t>项目预期完成的数量、实效、质量</w:t>
      </w:r>
      <w:r>
        <w:rPr>
          <w:rFonts w:hint="eastAsia" w:eastAsia="仿宋_GB2312" w:cs="仿宋_GB2312"/>
          <w:color w:val="000000"/>
          <w:sz w:val="32"/>
          <w:szCs w:val="32"/>
        </w:rPr>
        <w:t>，产生的</w:t>
      </w:r>
      <w:r>
        <w:rPr>
          <w:rFonts w:eastAsia="仿宋_GB2312" w:cs="仿宋_GB2312"/>
          <w:color w:val="000000"/>
          <w:sz w:val="32"/>
          <w:szCs w:val="32"/>
        </w:rPr>
        <w:t>社会经济效益</w:t>
      </w:r>
      <w:r>
        <w:rPr>
          <w:rFonts w:hint="eastAsia" w:eastAsia="仿宋_GB2312" w:cs="仿宋_GB2312"/>
          <w:color w:val="000000"/>
          <w:sz w:val="32"/>
          <w:szCs w:val="32"/>
        </w:rPr>
        <w:t>和</w:t>
      </w:r>
      <w:r>
        <w:rPr>
          <w:rFonts w:eastAsia="仿宋_GB2312" w:cs="仿宋_GB2312"/>
          <w:color w:val="000000"/>
          <w:sz w:val="32"/>
          <w:szCs w:val="32"/>
        </w:rPr>
        <w:t>服务对象满意度等</w:t>
      </w:r>
      <w:r>
        <w:rPr>
          <w:rFonts w:hint="eastAsia" w:eastAsia="仿宋_GB2312" w:cs="仿宋_GB2312"/>
          <w:color w:val="000000"/>
          <w:sz w:val="32"/>
          <w:szCs w:val="32"/>
        </w:rPr>
        <w:t>情况</w:t>
      </w:r>
      <w:r>
        <w:rPr>
          <w:rFonts w:eastAsia="仿宋_GB2312" w:cs="仿宋_GB2312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2022年，我部门（单位）纳入预算绩效管理的支出总额为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670.31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万元。其中：人员经费支出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432.02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万元；公用经费支出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39.61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万元；项目支出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198.68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万元，涉及项目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个。</w:t>
      </w:r>
      <w:r>
        <w:rPr>
          <w:rFonts w:hint="eastAsia"/>
          <w:color w:val="FF0000"/>
          <w:sz w:val="28"/>
          <w:szCs w:val="28"/>
        </w:rPr>
        <w:t xml:space="preserve"> 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楷体_GB2312" w:cs="仿宋_GB2312"/>
          <w:bCs/>
          <w:color w:val="000000"/>
          <w:sz w:val="32"/>
          <w:szCs w:val="32"/>
        </w:rPr>
      </w:pPr>
      <w:r>
        <w:rPr>
          <w:rFonts w:hint="eastAsia" w:eastAsia="楷体_GB2312" w:cs="仿宋_GB2312"/>
          <w:bCs/>
          <w:color w:val="000000"/>
          <w:sz w:val="32"/>
          <w:szCs w:val="32"/>
        </w:rPr>
        <w:t>（四）国有资产占用情况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kern w:val="0"/>
          <w:sz w:val="32"/>
          <w:szCs w:val="32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</w:rPr>
        <w:t>2021年期末，中站区朱村中心学校固定资产总额501.32万元，其中，房屋建筑物362.72万元，车辆0万元，办公设备89.78万元，专用设备26.67万元，其他资产22.15万元。车辆共有0辆，其中：一般公务用车0辆，执法执勤车0辆，0；</w:t>
      </w:r>
      <w:r>
        <w:rPr>
          <w:rFonts w:hint="eastAsia" w:eastAsia="仿宋_GB2312" w:cs="仿宋_GB2312"/>
          <w:color w:val="000000"/>
          <w:sz w:val="32"/>
          <w:szCs w:val="32"/>
        </w:rPr>
        <w:t>单价50万元以上通用设备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0</w:t>
      </w:r>
      <w:r>
        <w:rPr>
          <w:rFonts w:hint="eastAsia" w:eastAsia="仿宋_GB2312" w:cs="仿宋_GB2312"/>
          <w:color w:val="000000"/>
          <w:sz w:val="32"/>
          <w:szCs w:val="32"/>
        </w:rPr>
        <w:t>台（套），单位价值100万元以上专用设备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0</w:t>
      </w:r>
      <w:r>
        <w:rPr>
          <w:rFonts w:hint="eastAsia" w:eastAsia="仿宋_GB2312" w:cs="仿宋_GB2312"/>
          <w:color w:val="000000"/>
          <w:sz w:val="32"/>
          <w:szCs w:val="32"/>
        </w:rPr>
        <w:t>台（套）。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楷体_GB2312" w:cs="仿宋_GB2312"/>
          <w:color w:val="000000"/>
          <w:kern w:val="0"/>
          <w:sz w:val="32"/>
          <w:szCs w:val="32"/>
        </w:rPr>
      </w:pPr>
      <w:r>
        <w:rPr>
          <w:rFonts w:hint="eastAsia" w:eastAsia="楷体_GB2312" w:cs="仿宋_GB2312"/>
          <w:color w:val="000000"/>
          <w:kern w:val="0"/>
          <w:sz w:val="32"/>
          <w:szCs w:val="32"/>
        </w:rPr>
        <w:t>（五）专项转移支付项目情况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我部门负责管理的专项转移支付项目共有0项。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楷体_GB2312" w:cs="仿宋_GB2312"/>
          <w:color w:val="000000"/>
          <w:kern w:val="0"/>
          <w:sz w:val="32"/>
          <w:szCs w:val="32"/>
        </w:rPr>
      </w:pPr>
      <w:r>
        <w:rPr>
          <w:rFonts w:hint="eastAsia" w:eastAsia="楷体_GB2312" w:cs="仿宋_GB2312"/>
          <w:color w:val="000000"/>
          <w:kern w:val="0"/>
          <w:sz w:val="32"/>
          <w:szCs w:val="32"/>
        </w:rPr>
        <w:t>（六）关于预算部门构成说明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2022年我单位按照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区</w:t>
      </w:r>
      <w:bookmarkStart w:id="0" w:name="_GoBack"/>
      <w:bookmarkEnd w:id="0"/>
      <w:r>
        <w:rPr>
          <w:rFonts w:hint="eastAsia" w:eastAsia="仿宋_GB2312" w:cs="仿宋_GB2312"/>
          <w:color w:val="000000"/>
          <w:sz w:val="32"/>
          <w:szCs w:val="32"/>
        </w:rPr>
        <w:t>财政预算公开要求，将所属预算单位全部纳入预算公开范围。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jc w:val="center"/>
        <w:rPr>
          <w:rFonts w:eastAsia="黑体"/>
          <w:bCs/>
          <w:color w:val="000000"/>
          <w:sz w:val="36"/>
          <w:szCs w:val="36"/>
        </w:rPr>
      </w:pP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jc w:val="center"/>
        <w:rPr>
          <w:rFonts w:eastAsia="黑体"/>
          <w:bCs/>
          <w:color w:val="000000"/>
          <w:sz w:val="36"/>
          <w:szCs w:val="36"/>
        </w:rPr>
      </w:pPr>
      <w:r>
        <w:rPr>
          <w:rFonts w:hint="eastAsia" w:eastAsia="黑体"/>
          <w:bCs/>
          <w:color w:val="000000"/>
          <w:sz w:val="36"/>
          <w:szCs w:val="36"/>
        </w:rPr>
        <w:t>第三部分  名词解释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一、财政拨款收入：是指市级财政当年拨付的资金。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二、事业收入：是指事业单位开展专业活动及辅助活动所取 得的收入。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四、基本支出：是指为保障机构正常运转、完成日常工作任务所必需的开支，其内容包括人员经费和日常公用经费两部分。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五、项目支出：是指在基本支出之外，为完成特定的行政工作任务或事业发展目标所发生的支出。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六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Courier New"/>
          <w:color w:val="000000"/>
          <w:sz w:val="32"/>
          <w:szCs w:val="32"/>
        </w:rPr>
        <w:t>七、行政（事业）单位机构运行经费：是指为保障行政（事业）单位</w:t>
      </w:r>
      <w:r>
        <w:rPr>
          <w:rFonts w:hint="eastAsia" w:eastAsia="仿宋_GB2312" w:cs="仿宋_GB2312"/>
          <w:color w:val="000000"/>
          <w:sz w:val="32"/>
          <w:szCs w:val="32"/>
        </w:rPr>
        <w:t>机构正常运转及正常履职需要的办公费、水电费、日常维修、物业费、维修费、差旅费、</w:t>
      </w:r>
      <w:r>
        <w:rPr>
          <w:rFonts w:hint="eastAsia" w:eastAsia="仿宋_GB2312" w:cs="Courier New"/>
          <w:color w:val="000000"/>
          <w:sz w:val="32"/>
          <w:szCs w:val="32"/>
        </w:rPr>
        <w:t>公务用车运行维护费以及其他费用</w:t>
      </w:r>
      <w:r>
        <w:rPr>
          <w:rFonts w:hint="eastAsia" w:eastAsia="仿宋_GB2312" w:cs="仿宋_GB2312"/>
          <w:color w:val="000000"/>
          <w:sz w:val="32"/>
          <w:szCs w:val="32"/>
        </w:rPr>
        <w:t>等支出。</w:t>
      </w:r>
    </w:p>
    <w:p>
      <w:pPr>
        <w:ind w:firstLine="640" w:firstLineChars="200"/>
      </w:pPr>
      <w:r>
        <w:rPr>
          <w:rFonts w:hint="eastAsia" w:eastAsia="仿宋_GB2312" w:cs="仿宋_GB2312"/>
          <w:color w:val="000000"/>
          <w:sz w:val="32"/>
          <w:szCs w:val="32"/>
        </w:rPr>
        <w:t>八、教育支出：反映政府教育事务支出。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F2DAA"/>
    <w:multiLevelType w:val="singleLevel"/>
    <w:tmpl w:val="5A4F2DAA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5A796DEC"/>
    <w:multiLevelType w:val="singleLevel"/>
    <w:tmpl w:val="5A796DE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dhMmVhOTcxOWQ0ZTk1MTk3NTY0NjE1Njg5NDhiNjYifQ=="/>
  </w:docVars>
  <w:rsids>
    <w:rsidRoot w:val="00B64858"/>
    <w:rsid w:val="00047ADD"/>
    <w:rsid w:val="00656806"/>
    <w:rsid w:val="00677649"/>
    <w:rsid w:val="009876ED"/>
    <w:rsid w:val="00B64858"/>
    <w:rsid w:val="11AF328F"/>
    <w:rsid w:val="22AB4D24"/>
    <w:rsid w:val="2C316CAD"/>
    <w:rsid w:val="3AF32C92"/>
    <w:rsid w:val="48320EA3"/>
    <w:rsid w:val="4F553033"/>
    <w:rsid w:val="5AF960B3"/>
    <w:rsid w:val="6BBE083F"/>
    <w:rsid w:val="79BE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600" w:lineRule="exact"/>
      <w:ind w:firstLine="200" w:firstLineChars="200"/>
    </w:pPr>
    <w:rPr>
      <w:rFonts w:eastAsia="仿宋_GB2312"/>
      <w:sz w:val="32"/>
    </w:rPr>
  </w:style>
  <w:style w:type="paragraph" w:customStyle="1" w:styleId="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3033</Words>
  <Characters>3386</Characters>
  <Lines>23</Lines>
  <Paragraphs>6</Paragraphs>
  <TotalTime>17</TotalTime>
  <ScaleCrop>false</ScaleCrop>
  <LinksUpToDate>false</LinksUpToDate>
  <CharactersWithSpaces>3409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2022-05-12T07:44:00Z</dcterms:created>
  <dc:creator>Administrator</dc:creator>
  <cp:lastModifiedBy>Administrator</cp:lastModifiedBy>
  <dcterms:modified xsi:type="dcterms:W3CDTF">2023-05-09T02:27:30Z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ICV">
    <vt:lpwstr>B852B704CA4441D79BA55F8F8A8DADB2</vt:lpwstr>
  </property>
</Properties>
</file>