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jc w:val="left"/>
        <w:textAlignment w:val="auto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焦作市中站区政务服务和大数据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管理局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2022年度部门预算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center"/>
        <w:textAlignment w:val="auto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50" w:lineRule="exact"/>
        <w:ind w:left="-142" w:right="51" w:firstLine="30" w:firstLineChars="7"/>
        <w:jc w:val="center"/>
        <w:textAlignment w:val="auto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40" w:lineRule="auto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第二部分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焦作市中站区政务服务和大数据管理局202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第三部分 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焦作市中站区政务服务和大数据管理局2022年度部门预算表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十五、本级部门预算项目绩效目标表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焦作市中站区政务服务和大数据管理局概况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（党的建设工作办公室）。负责机关日运转工作，承担综合文字材料、公文处理、督查督办、信息宣传、财务、人事、机关管理、安全、保密、信访、对外合作交流、后勤保障、资产管理等工作；承担机关有关规范性文件合法性审查和清理工作；负责机关和所属单位的党群、纪检等工作，承担机关党支部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政务服务股（审批改革协调股）。负责组织起草全区政务服务和政务信息化相关政策和规范性文件；统筹推进全区政 务服务体系建设；统筹推进实体政务大厅（基层服务网点）建设, 以及与网上政务服务平台的融合发展；组织协调全区政务服务环 境优化和评价工作，负责区级政务服务质量的监督管理，承担电子监察工作。负责全区行政审批改革相关工作；负责区级政务服务事项的审核、管理和调整工作，建立全区政务服务事项目录清单管理制度；推进政务服务事项标准化，组织开展审批服务便民 化相关工作，协调各部门创新审批服务方式，优化审批流程。承担区政府推进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管服”改革日常工作。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资源股（电子政务股）。统筹全区数据资源的归集、管理、分析和应用工作，协调服务大数据产业发展；组织协调推进政务数据资源整合规范和开放共享，建设和管理政务数据共享平台，建立政务数据对接、认领和反馈制度，协调解决政务数据管理和开发利用中的重大问题；承担电子政务基础设施、信息系统、数据资源等安全保障工作；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慧城区,平台安全技术和运营体系建设，推进政务信息系统统一信任 体系建设；负责统筹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“智慧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区”大数据平台、身份认证平台等信息安全管理，以及数据和信息安全保障工作；承担组织区级政务应用平台和信息系统的安全监测和监督检查工作；承担大数据人才队伍建设工作。统筹区级政务信息系统建设规划，提出项目建设具体意见；拟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“智慧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区”建设规划和年度建设计划并组织实施；组织拟订政务云平台、政务服务平台和网络等建设标准，以及大数据归集、储存管理、安全管理、开发和共享应用等技术规范与标准；拟订区级政务信息化购买服务标准和规范。负责全区政府系统电子政务的统筹协调、组织推进和监督管理；汇总和编制区级部门政务信息化建设工作任务清单并组织实施；组织全区政务信息化重大项目建设，评估区级部门政务信息化项目建设应用效果；负责全区政务内网建设管理；统筹规划与管理区级电子政务基础网络，负责区级政务云平台、政务服务平台、金融服务共享平台等的建设管理，统筹协调区级部门业务应用系统建设。负责区政府政务信息化的规划建设、技术与安全保障等工作。</w:t>
      </w:r>
      <w:bookmarkStart w:id="0" w:name="bookmark17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（二）部门职责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组织起草全区政务服务和政务信息化相关政策、标准 规范和规范性文件并组织实施。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统筹推进全区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政府”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“智慧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城区”建设，拟订年度规划并组织实施。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统筹推进全区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“一网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通办”前提下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多跑一次”改革工作。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统筹区级政务信息系统建设规划，提出项目建设具体意见，落实上级政务信息系统建设规划，做好我区政务云平台、政务服务平台、金融服务共享平台和电子政务网络使用工作。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统筹推进全区政务服务和数据管理体系建设，指导各部门政务服务和数据管理机构开展工作。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组织协调全区政务服务环境优化和评价工作，负责区 级政务服务质量的监督管理。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负责全区行政审批改革、审批服务便民化相关工作，负责全区政务服务事项目录管理和标准化建设。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统筹全区数据资源管理和建设工作，组织推动大数据研究、开发、应用和合作交流。承担大数据人才队伍建设工作。协调服务大数据产业发展。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九是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统筹全区电子政务基础设施、信息系统、数据资源等 安全保障工作，配合上级部门做好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“智慧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城区”平 台安全技术和运营体系建设，监督管理区级信息系统和数据库。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负责协调、督促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“放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管服”改革工作，对区政府部门 进行目标考核。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二、焦作市中站区政务服务和大数据管理局部门预算单位构成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本预算为包括本级预算和所属单位预算在内的汇总预算，预算单位构成：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.焦作市中站区政务服务和大数据管理局本级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焦作市中站区政务服务和大数据管理局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Arial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焦作市中站区政务服务和大数据管理局2022年收入总计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736.55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372.09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新增项目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新建中站区新型智慧城市平台项目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690万元和新型智慧城市平台服务项目场地租赁费项目30万元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焦作市中站区政务服务和大数据管理局2022年收入合计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焦作市中站区政务服务和大数据管理局2022年支出合计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74.58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7.98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859.92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92.02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焦作市中站区政务服务和大数据管理局2022年一般公共预算收支预算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与2021年相比，一般公共预算收支预算增加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736.55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372.09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新增项目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新建中站区新型智慧城市平台项目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690万元和新型智慧城市平台服务项目场地租赁费项目30万元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主要原因：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焦作市中站区政务服务和大数据管理局2022年一般公共预算支出年初预算为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934.50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一般公共服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务支出</w:t>
      </w:r>
      <w:r>
        <w:rPr>
          <w:rFonts w:hint="eastAsia" w:eastAsia="仿宋_GB2312" w:cs="Arial"/>
          <w:color w:val="auto"/>
          <w:sz w:val="32"/>
          <w:szCs w:val="32"/>
          <w:lang w:val="en-US" w:eastAsia="zh-CN"/>
        </w:rPr>
        <w:t>922.44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98.71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%；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社会保障和就业支出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5.44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0.58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%；卫生健康支出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2.55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0.27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%；住房保障支出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4.07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0.44</w:t>
      </w:r>
      <w:r>
        <w:rPr>
          <w:rFonts w:hint="eastAsia" w:ascii="Times New Roman" w:hAnsi="Times New Roman" w:eastAsia="仿宋_GB2312" w:cs="仿宋_GB2312"/>
          <w:color w:val="auto"/>
          <w:spacing w:val="6"/>
          <w:kern w:val="0"/>
          <w:sz w:val="32"/>
          <w:szCs w:val="32"/>
        </w:rPr>
        <w:t>%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74.57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  <w:lang w:val="en-US" w:eastAsia="zh-CN"/>
        </w:rPr>
        <w:t>68.38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6.20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，主要包括：办公费、公务接待费、其他商品和服务支出。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八、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焦作市中站区政务服务和大数据管理局2022年“三公”经费支出预算为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比 2021年预算数减少（增加）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。预算数比2021年减少（增加）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万元，下降（增加）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无相关活动支出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。其中公务车辆购置费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万元，比2021年减少（增加）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万元，较上年下降（增长）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无相关活动支出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,比2021年减少（增加）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万元，较上年下降（增长）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无相关活动支出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0.02</w:t>
      </w: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公务接待支出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，比2021年预算数减少（增加）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万元，下降（增长）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公务接待工作与往年无变化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焦作市中站区政务服务和大数据管理局2022年机构运行经费支出预算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1.86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万元，主要保障机构正常运转及正常履职需要的办公费、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公务接待费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支出，比2021年减少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2.38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56.13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减少一切不必要开支，压缩办公经费等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2022年政府采购预算安排</w:t>
      </w:r>
      <w:r>
        <w:rPr>
          <w:rFonts w:hint="eastAsia" w:eastAsia="仿宋_GB2312" w:cs="仿宋_GB2312"/>
          <w:color w:val="000000"/>
          <w:spacing w:val="0"/>
          <w:sz w:val="32"/>
          <w:szCs w:val="32"/>
          <w:lang w:val="en-US" w:eastAsia="zh-CN"/>
        </w:rPr>
        <w:t>69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政府采购货物预算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万元、政府采购工程预算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690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万元、政府采购服务预算</w:t>
      </w:r>
      <w:r>
        <w:rPr>
          <w:rFonts w:hint="eastAsia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2022年焦作市中站区政务服务和大数据管理局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2022年，我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纳入预算绩效管理的支出总额为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934.50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万元。其中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人员经费支出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68.38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6.20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万元；项目支出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859.92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万元，涉及项目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2021年期末，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焦作市中站区政务服务和大数据管理局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固定资产总额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79.36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万元，其中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房屋建筑物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万元，车辆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59.60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万元，专用设备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0.13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19.63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万元。车辆共有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辆，其中：一般公务用车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辆，执法执勤车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行政审批：是批行政机关根据自然人、法人或者其他组织提出的申请，经过依法审查，采取“批准”、“同意”、“年检”发放证照等方式，准予其从事特定活动、认可其资格资质、确认特定民事关系或者特定民事权利能力和行为能力的行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jY1M2NkZmZhZjY1MTgwNmQ2MjBhNzI3ZDM1ODEifQ=="/>
  </w:docVars>
  <w:rsids>
    <w:rsidRoot w:val="35F40A4A"/>
    <w:rsid w:val="01852063"/>
    <w:rsid w:val="02FA1E02"/>
    <w:rsid w:val="05C44291"/>
    <w:rsid w:val="07C00888"/>
    <w:rsid w:val="08166E75"/>
    <w:rsid w:val="08740767"/>
    <w:rsid w:val="09B614D5"/>
    <w:rsid w:val="0BFB0FA2"/>
    <w:rsid w:val="0CD000EF"/>
    <w:rsid w:val="0E987C5F"/>
    <w:rsid w:val="10036F74"/>
    <w:rsid w:val="10C54463"/>
    <w:rsid w:val="12284169"/>
    <w:rsid w:val="139A5D3F"/>
    <w:rsid w:val="1458006E"/>
    <w:rsid w:val="1D936775"/>
    <w:rsid w:val="1E6D7182"/>
    <w:rsid w:val="1EBA7D9D"/>
    <w:rsid w:val="202616E3"/>
    <w:rsid w:val="20330723"/>
    <w:rsid w:val="20334085"/>
    <w:rsid w:val="24305786"/>
    <w:rsid w:val="276A7591"/>
    <w:rsid w:val="27DA00E8"/>
    <w:rsid w:val="29046B6D"/>
    <w:rsid w:val="2A697EC4"/>
    <w:rsid w:val="2F554D52"/>
    <w:rsid w:val="316867E0"/>
    <w:rsid w:val="34140EA1"/>
    <w:rsid w:val="35F40A4A"/>
    <w:rsid w:val="360119B4"/>
    <w:rsid w:val="3706247B"/>
    <w:rsid w:val="37090155"/>
    <w:rsid w:val="37B24FD4"/>
    <w:rsid w:val="400E5D55"/>
    <w:rsid w:val="4027451B"/>
    <w:rsid w:val="403E1118"/>
    <w:rsid w:val="44D054F3"/>
    <w:rsid w:val="48B124D9"/>
    <w:rsid w:val="48D03190"/>
    <w:rsid w:val="4CE23492"/>
    <w:rsid w:val="4F9D6BF9"/>
    <w:rsid w:val="51312C3A"/>
    <w:rsid w:val="533C30F0"/>
    <w:rsid w:val="53DF627C"/>
    <w:rsid w:val="546B30B1"/>
    <w:rsid w:val="56044479"/>
    <w:rsid w:val="57837CF9"/>
    <w:rsid w:val="57DB070F"/>
    <w:rsid w:val="5BAD425E"/>
    <w:rsid w:val="5C561E2D"/>
    <w:rsid w:val="5EEC1F0A"/>
    <w:rsid w:val="613E24C6"/>
    <w:rsid w:val="63472F1D"/>
    <w:rsid w:val="67245712"/>
    <w:rsid w:val="6D19050E"/>
    <w:rsid w:val="720F6A1C"/>
    <w:rsid w:val="74A0618F"/>
    <w:rsid w:val="75C75406"/>
    <w:rsid w:val="771F0984"/>
    <w:rsid w:val="7946693F"/>
    <w:rsid w:val="7AF1471D"/>
    <w:rsid w:val="7D6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99"/>
    <w:rPr>
      <w:sz w:val="24"/>
    </w:rPr>
  </w:style>
  <w:style w:type="paragraph" w:customStyle="1" w:styleId="6">
    <w:name w:val="Body text|1"/>
    <w:basedOn w:val="1"/>
    <w:qFormat/>
    <w:uiPriority w:val="99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4438</Words>
  <Characters>4706</Characters>
  <Lines>0</Lines>
  <Paragraphs>0</Paragraphs>
  <TotalTime>23</TotalTime>
  <ScaleCrop>false</ScaleCrop>
  <LinksUpToDate>false</LinksUpToDate>
  <CharactersWithSpaces>4738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Administrator</dc:creator>
  <cp:lastModifiedBy>Administrator</cp:lastModifiedBy>
  <dcterms:modified xsi:type="dcterms:W3CDTF">2023-05-10T00:56:37Z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8053127A21684F7AB7EA0A263A53524F</vt:lpwstr>
  </property>
</Properties>
</file>