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中站区商务局“转变作风抓落实、优化环境促发展”活动实施“作风建设培优工程”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整改公示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按照《关于在活动整改提高阶段开展“两公示两促进一评议”的通知》（中区优办发〔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2018〕20号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）文件要求，我局积极开展“两公示两促进一评议”活动，现将开展情况总结如下：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问题整改情况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24" w:lineRule="atLeast"/>
        <w:ind w:left="180" w:right="0" w:firstLine="643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(一)、为官不为的问题。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对作风整治工作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重视程度不一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有少数干部职工对开展作风建设的重要性和必要性认识不够深刻，存在被动应付的状况。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24" w:lineRule="atLeast"/>
        <w:ind w:left="180" w:right="0"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改措施：利用每周一集中开会的机会，着重强调机关单位作风建设的重要性和必要性，要求全体职工认真组织学习讨论。在平时的工作中采取集中学习与个人自学相结合形式，重点加强政治理论、宗旨意识、法律法规、职业道德、业务知识和廉政规定等方面的学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24" w:lineRule="atLeast"/>
        <w:ind w:left="180" w:right="0"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整改效果：通过学习，全体干部职工统一了思想，提高了认识，明确了切实加强机关作风建设的深远好处和具体要求，全体干部职工参与机关作风整顿的自觉性与用心性得到明显提高。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24" w:lineRule="atLeast"/>
        <w:ind w:left="180" w:right="0"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24" w:lineRule="atLeast"/>
        <w:ind w:left="180" w:right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24" w:lineRule="atLeast"/>
        <w:ind w:left="180" w:right="0"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（二）能力不足的问题。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创造性开展工作的潜力有待提高。有时只是为了工作而工作，只能完成满足干手头上领导交办的工作，不能开拓性的开展工作，缺乏工作主动性和能动性。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24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整改措施：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转变工作作风，针对客观困难，深入研究，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eastAsia="zh-CN"/>
        </w:rPr>
        <w:t>靠群众，发挥主观能动性，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</w:rPr>
        <w:t>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eastAsia="zh-CN"/>
        </w:rPr>
        <w:t>动我局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</w:rPr>
        <w:t>整体工作的进展。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eastAsia="zh-CN"/>
        </w:rPr>
        <w:t>整改效果：通过建立工作群，加强全体干部职工的业务交流，办公室每周五总结本周各项业务工作，形成系统的工作月报表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，促使我局全体干部职工形成合力，提升了业务能力，培养了积极进取、团结合作的职业精神。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（三）做事不实的问题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不能大胆开展批评与自我批评。在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常工作实践中，对于出现的工作问题和漏洞，总是检讨自己的时候多，说普遍存在的问题多，具体到个人的少。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改措施：我局结合全体干部职工个人排查出的主要问题和不足，认真制定具体详细的作风整改优化方案，做到时限明确、职责明确、标准明确;认真抓整改，抓紧落实整改措施，克服解决自身存在的不良作风，并且及时指出他人存在的作风方面问题。在工作中坚持“四不放过”，即问题说不清不放过;整改措施不落实不放过;整改不到位不放过;不吸取教训不放过。以高要求、严管理的工作理念不断提升干部职工队伍的整体素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整改效果：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工作实效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机关效能建设蔚然成风。自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作风建设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活动开展以来，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全体干部职工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的工作作风明显改善，在工作中注重办实事、讲实效，工作效率得到进一步提高，服务质量得到进一步提升，行政成本进一步降低，发展环境进一步优化。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二、承担区委区政府中心工作完成情况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14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１、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招商引资方面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一是对已签约项目进行“三率”督导。对我区以往参会的市局一赛一节、豫商大会、深圳推介会等签约项目进行督导检查，及时掌握项目进展情况。截至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月底，一赛一节签约项目共履约9个，开工9个，到位资金71.48亿元，履约率、开工率、资金到位率分别是:100%、100%、68.08%。豫商大会签约到位资金51.9亿元，三率100%.100%.42.94%。 深圳推介会签约3个，履约3个，开工1个，到位资金0.35亿元，三率100%.33.33%.0.5%。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14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是8月29日我区将组织参加在青岛举办焦作市2018年青岛推介会。目前筛选拟签约项目共计2个，计划总投资7.5亿元。邀请客商6名。拟签约项目为：总投资5亿元的年产10000吨碳纳米管石墨烯导电浆项目和总投资2.5亿元的环氧树脂、环氧氯丙烷技改项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14" w:lineRule="atLeast"/>
        <w:ind w:left="0" w:right="0" w:firstLine="643" w:firstLineChars="2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２、商贸经济方面：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在200余家餐饮服务单位开展文明餐桌创建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工作，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弘扬科学饮食、文明就餐文化，为共建文明城市作出新的贡献。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14" w:lineRule="atLeast"/>
        <w:ind w:left="0" w:right="0" w:firstLine="643" w:firstLineChars="2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kern w:val="44"/>
          <w:sz w:val="32"/>
          <w:szCs w:val="32"/>
          <w:shd w:val="clear" w:fill="FFFFFF"/>
          <w:lang w:val="en-US" w:eastAsia="zh-CN" w:bidi="ar"/>
        </w:rPr>
        <w:t>３、市场监管方面：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全面落实“随机”抽查机制，积极开展以成品油市场整治为重点的商务领域专项执法行动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。一是</w:t>
      </w:r>
      <w:r>
        <w:rPr>
          <w:rFonts w:hint="eastAsia" w:ascii="仿宋" w:hAnsi="仿宋" w:eastAsia="仿宋" w:cs="仿宋"/>
          <w:snapToGrid w:val="0"/>
          <w:color w:val="454545"/>
          <w:sz w:val="32"/>
          <w:szCs w:val="32"/>
        </w:rPr>
        <w:t>为巩固提高规范汽车销售市场经营行为，维护公平公正的市场秩序组织</w:t>
      </w:r>
      <w:r>
        <w:rPr>
          <w:rFonts w:hint="eastAsia" w:ascii="仿宋" w:hAnsi="仿宋" w:eastAsia="仿宋" w:cs="仿宋"/>
          <w:snapToGrid w:val="0"/>
          <w:color w:val="454545"/>
          <w:sz w:val="32"/>
          <w:szCs w:val="32"/>
          <w:lang w:eastAsia="zh-CN"/>
        </w:rPr>
        <w:t>，组织人员对我区汽车销售市场进行检查</w:t>
      </w:r>
      <w:r>
        <w:rPr>
          <w:rFonts w:hint="eastAsia" w:ascii="仿宋" w:hAnsi="仿宋" w:eastAsia="仿宋" w:cs="仿宋"/>
          <w:snapToGrid w:val="0"/>
          <w:color w:val="454545"/>
          <w:sz w:val="32"/>
          <w:szCs w:val="32"/>
        </w:rPr>
        <w:t>，现场摸底6次，共排查汽车销售企业10余家，张贴“四个明示”10家，暂无违规情况发生。</w:t>
      </w:r>
      <w:r>
        <w:rPr>
          <w:rFonts w:hint="eastAsia" w:ascii="仿宋" w:hAnsi="仿宋" w:eastAsia="仿宋" w:cs="仿宋"/>
          <w:snapToGrid w:val="0"/>
          <w:color w:val="454545"/>
          <w:sz w:val="32"/>
          <w:szCs w:val="32"/>
          <w:lang w:eastAsia="zh-CN"/>
        </w:rPr>
        <w:t>二是组织开展“黑加油站”专项检查。</w:t>
      </w:r>
      <w:r>
        <w:rPr>
          <w:rFonts w:hint="eastAsia" w:ascii="仿宋" w:hAnsi="仿宋" w:eastAsia="仿宋" w:cs="仿宋"/>
          <w:b w:val="0"/>
          <w:bCs w:val="0"/>
          <w:snapToGrid w:val="0"/>
          <w:color w:val="454545"/>
          <w:sz w:val="32"/>
          <w:szCs w:val="32"/>
          <w:lang w:val="en-US" w:eastAsia="zh-CN"/>
        </w:rPr>
        <w:t>8月6日上午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由我区主要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</w:rPr>
        <w:t>领导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带队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</w:rPr>
        <w:t>公安、工商、环保、府城办事处、中石化等相关部门对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友邦运输公司院内存在黑加油站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</w:rPr>
        <w:t>点进行联合执法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取缔。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8月7日，中站区人民政府专门下达《中站区人民政府办公室关于加大非法黑加油站（点）排查力度的通知》，要求全区各办事处以此活动为契机，举一反三，加大排查整治工作力度，全面打击非法黑加油站点专项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活动。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中站区商务局按照文件精神，专门成立督导小组，对全区各办事处开展情况进行督导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检查。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14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４、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服务企业方面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：一是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帮助我区龙蟒佰利联、佰利联新材料、多氟多三家外贸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进出口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企业申报2017年下半年和2018年上半年外经贸发展专项资金项目5个，金额共计3655054.36元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。加班加点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企业的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申报材料进行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预审，协助企业按时完成了申报工作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二是协助蓝星水务公司完成外资转内资手续。三是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日组织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龙蟒佰利联参加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的进口博览会河南省交易团组织工作推进会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日还组织我区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万亨纺织、大华针织、华岳陶瓷、维纳科技三家中小微企业参加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我市举办的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出口信保培训会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，通过会议进一步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加深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企业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对各项贸易规则和优惠政策的认识和理解，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促进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企业转变观念，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增强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走向国际市场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信心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24" w:lineRule="atLeast"/>
        <w:ind w:left="180" w:right="0"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firstLine="643" w:firstLineChars="200"/>
        <w:jc w:val="both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E4B81"/>
    <w:rsid w:val="716C4B8E"/>
    <w:rsid w:val="72316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2018-09-19T07:50:07Z</cp:lastPrinted>
  <dcterms:modified xsi:type="dcterms:W3CDTF">2018-09-19T07:51:52Z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