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中站区人民政府办公室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“转变作风抓落实、优化环境促发展”活动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实施“作风建设培优工程”整改公示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根据工作安排，现将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中站区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自查问题整改情况和中心工作完成情况进行集中公示，接受广大干部群众监督。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一、自查问题整改情况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 w:cs="楷体_GB2312"/>
          <w:sz w:val="32"/>
          <w:szCs w:val="32"/>
        </w:rPr>
        <w:t>（一）在能力不足方面，存在办文办会办事能力不足，综合素质和业务能力有待进一步提升的问题。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注重学习教育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提升理论素养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坚持把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学习教育作为提升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素质的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途径，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集体学习与个人自学相结合，利用图书报刊、网络微信等平台，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深层次、多领域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精读精学十九大报告、新党章、领导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讲话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及新颁布的法律法规、市场经济、行政管理、秘书写作等方面的知识，全面提升办公室工作人员的理论素质和业务知识水平。今年以来，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政府办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组织集中学习</w:t>
      </w:r>
      <w:r>
        <w:rPr>
          <w:rFonts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次，撰写心得体会</w:t>
      </w:r>
      <w:r>
        <w:rPr>
          <w:rFonts w:ascii="仿宋_GB2312" w:hAnsi="仿宋_GB2312" w:eastAsia="仿宋_GB2312" w:cs="仿宋_GB2312"/>
          <w:sz w:val="32"/>
          <w:szCs w:val="32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同时，积极加强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党员活动室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，专门配置了学习书柜和各类学习书籍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余本，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进一步夯实了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围绕中心工作，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业务水平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年轻同志积极参与重大会议、重大活动协调安排、重要文件起草等中心工作，在业务实践中积累经验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增强本领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形成了合理的工作梯队力量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同时，先后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开展了“学习区委十届五次全会暨区委经济工作会议精神”优秀文章评选、外事活动接待方案评选、专业能力测试等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活动，通过组织业务评比和岗位练兵，全面提升办公室人员的综合协调能力和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素质。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调研实践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促进学以致用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突出理论实践相结合，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组织党员干部到先进单位开展“走出去”现场培训，深入基层一线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中心工作现场，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开展调研活动，使党员干部在培训中获得真知，在调研中得到提升，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促进办公室工作整体上台阶。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整改效果：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通过开展一系列学习教育活动，办公室党员干部的理论素质、业务能力得到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提升，办文、办会、办事能力和综合协调能力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显著增强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服务大局、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参谋助手作用发挥明显。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 w:cs="楷体_GB2312"/>
          <w:sz w:val="32"/>
          <w:szCs w:val="32"/>
        </w:rPr>
        <w:t>（二）在做事不实方面，存在文山会海现象仍较为突出，工作作风还不够扎实等问题。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整改措施：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突出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“少、小、短、严”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改变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上下功夫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少开会，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会议数量，能通过其它方式解决的问题一律不开会；开小会，会议只安排与会议内容密切相关的领导和工作人员参加，尽量减少参会人数；开短会，召开会议要求主题明确、议程规范，领导讲话言简意赅，提高会议效率；严肃会风会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参会人员范围、参加时间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会议请假、会场纪律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推动办会工作制度化、规范化。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突出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“严、快、实、准”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改进文风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上下功夫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以政府、政府办公室名义发文的数量，可以通过电话沟通或网络传递的，尽量不制发纸质文件。收文做到随收随登记，及时拟注转办，加快公文阅处速度。发文要求任务明确，短小精悍，内容实在，不发照抄照搬的文件，不发脱离实际的文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切实增强文件的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针对性、指导性和可操作性。文章力求精炼、具体可行，发文格式规范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杜绝错字别字、词不达意，确保文稿质量。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突出“优、强、硬、紧”，在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建设上下功夫。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组织开展了作风纪律整顿活动，采取自查自纠、互查互纠等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多种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全面深入查摆问题，及时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建立整改台账，明确整改举措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整改标准、整改时限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查摆问题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已全面整改单位。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为更好的收集意见建议，设立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意见箱，公布了举报电话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积极接受监督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。同时，结合自身工作实际，修订完善考勤签到、外出请销假等相关规章制度，编印成册，印发给每个干部职工，真正做到用制度管人管事。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突出“精、责、质、效”，在提升效能上下功夫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坚持定岗定责，细化岗位职能职责，加强岗位教育培训，有效推进管理精细化、科学化，努力提升行政工作效能。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紧紧围绕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“办文、办会、办事”三项核心业务，优化规范程序，提高运转效率，做到职责明确、工作规范、运作高效。同时，为更好地促进工作交流、提高工作效率，建立了区政府会议活动微信群，实现工作部署和交流经验的零距离沟通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整改效果：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整治，文山会海现象得到有效遏制，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降低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工作方式方法得到有效改善，工作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作风更加扎实，工作效率极大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，机关效能建设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取得实效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 w:cs="楷体_GB2312"/>
          <w:sz w:val="32"/>
          <w:szCs w:val="32"/>
        </w:rPr>
        <w:t>（三）在有责不但方面，存在责任担当意识不够，攻坚克难办法不多成效不好等问题。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整改措施：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立足全区经济社会发展大局，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切实发挥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好办公室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职能作用。当好“参谋部”，积极协助区政府领导谋大</w:t>
      </w:r>
      <w:r>
        <w:rPr>
          <w:rFonts w:hint="eastAsia" w:ascii="仿宋_GB2312" w:hAnsi="仿宋_GB2312" w:eastAsia="仿宋_GB2312" w:cs="仿宋_GB2312"/>
          <w:sz w:val="32"/>
          <w:szCs w:val="32"/>
        </w:rPr>
        <w:t>事、抓大事，高水平、高质量地为领导决策当好参谋、出好主意，做到参之有度、谋之有方、谏之有策；当好“协调部”，发挥承上启下、联系左右、协调各方的枢纽作用，统筹协调各方关系，促进各项工作有机衔接、有序推进；当好“督导部”，做到敢抓敢管，善抓善管，精准抓重点、精准抓问题、精准“解剖麻雀”，确保事事有着落、件件有结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坚持高标一流，提供优质高效服务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讲时效，做到雷厉风行、抓紧快办、办就办好，夙兴夜寐，激情工作；讲细节，做到严谨细致、精益求精，不论事大事小、事重事轻，都要一丝不苟、慎之又慎；讲责任，做到用心谋事、踏实干事，坚持“细致、精致、极致”的服务标准，高度负责、极端负责，努力把事情办出最好效果，为政府领导提供更加优质高效的服务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480" w:firstLineChars="15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整改效果：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通过几轮作风纪律整顿，切实改变了宗旨意识不强、责任担当不够、工作效率不高、协调配合不好、落实政策不到位等问题，工作效率和服务效能显著提高。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二、中心工作完成情况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ascii="楷体_GB2312" w:hAnsi="仿宋_GB2312" w:eastAsia="楷体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楷体_GB2312"/>
          <w:sz w:val="32"/>
          <w:szCs w:val="32"/>
        </w:rPr>
        <w:t>（一）两会筹备方面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政府工作报告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已通过区委常委会审议，正在进一步修改完善。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 w:cs="楷体_GB2312"/>
          <w:sz w:val="32"/>
          <w:szCs w:val="32"/>
        </w:rPr>
        <w:t>（二）精准扶贫方面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5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根据区委、区政府工作安排，区政府办帮扶对象为府城办事处北朱村，该村贫困户共</w:t>
      </w:r>
      <w:r>
        <w:rPr>
          <w:rFonts w:ascii="仿宋_GB2312" w:hAnsi="仿宋_GB2312" w:eastAsia="仿宋_GB2312" w:cs="仿宋_GB2312"/>
          <w:sz w:val="32"/>
          <w:szCs w:val="32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</w:rPr>
        <w:t>已脱贫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30户67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将通过低保救助、临时救助、结对帮扶、健康扶贫、教育扶贫等措施，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计划脱贫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确保2020年全部实现脱贫。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 w:cs="楷体_GB2312"/>
          <w:sz w:val="32"/>
          <w:szCs w:val="32"/>
        </w:rPr>
        <w:t>（三）集聚区征迁方面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根据任务分工，政府办承担王庄村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户征迁任务，其中重点户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户，一般户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户。截止目前，已补点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户，占总任务的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，签订协议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户，占总任务的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，完成拆迁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户，占总任务的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楷体_GB2312"/>
          <w:sz w:val="32"/>
          <w:szCs w:val="32"/>
        </w:rPr>
        <w:t>（四）四城联创方面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自全市“四城联创”工作开展以来，区政府办公室即对承担任务进行了安排部署，在做好本单位亮化工作的同时，积极做好文明城市创建志愿服务工作，截止目前，共出动志愿服务人员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人次，纠正不文明现象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</w:t>
      </w:r>
      <w:r>
        <w:rPr>
          <w:rFonts w:hint="eastAsia" w:ascii="仿宋_GB2312" w:hAnsi="仿宋_GB2312" w:eastAsia="仿宋_GB2312" w:cs="仿宋_GB2312"/>
          <w:sz w:val="32"/>
          <w:szCs w:val="32"/>
        </w:rPr>
        <w:t>起。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同时，积极协调做好环保攻坚、招商引资、项目建设、安全生产等中心工作。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中站区人民政府办公室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4" w:type="default"/>
      <w:footerReference r:id="rId5" w:type="default"/>
      <w:pgSz w:w="11906" w:h="16838"/>
      <w:pgMar w:top="2098" w:right="1474" w:bottom="1984" w:left="1588" w:header="850" w:footer="992" w:gutter="0"/>
      <w:pgNumType w:fmt="numberInDash"/>
      <w:cols w:space="720" w:num="1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1</w:t>
                </w:r>
                <w:r>
                  <w:rPr>
                    <w:rFonts w:hint="eastAsia" w:ascii="宋体" w:hAnsi="宋体"/>
                    <w:sz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HorizontalSpacing w:val="210"/>
  <w:drawingGridVerticalSpacing w:val="164"/>
  <w:displayHorizontalDrawingGridEvery w:val="1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 w:locked="1"/>
    <w:lsdException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5</Pages>
  <Words>375</Words>
  <Characters>2141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2018-09-14T08:49:00Z</dcterms:created>
  <dc:creator>2012</dc:creator>
  <cp:lastModifiedBy>NTKO</cp:lastModifiedBy>
  <dcterms:modified xsi:type="dcterms:W3CDTF">2018-09-17T00:42:26Z</dcterms:modified>
  <dc:title>中站区人民政府办公室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